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0" w:beforeAutospacing="0" w:after="0" w:afterAutospacing="0" w:line="56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萝北县教育局</w:t>
      </w:r>
    </w:p>
    <w:p>
      <w:pPr>
        <w:pStyle w:val="4"/>
        <w:widowControl/>
        <w:shd w:val="clear" w:color="auto" w:fill="FFFFFF"/>
        <w:spacing w:before="0" w:beforeAutospacing="0" w:after="0" w:afterAutospacing="0" w:line="56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color w:val="000000"/>
          <w:sz w:val="44"/>
          <w:szCs w:val="44"/>
          <w:shd w:val="clear" w:color="auto" w:fill="FFFFFF"/>
        </w:rPr>
        <w:t>关于</w:t>
      </w:r>
      <w:r>
        <w:rPr>
          <w:rFonts w:hint="eastAsia" w:ascii="方正小标宋简体" w:hAnsi="方正小标宋简体" w:eastAsia="方正小标宋简体" w:cs="方正小标宋简体"/>
          <w:color w:val="000000"/>
          <w:sz w:val="44"/>
          <w:szCs w:val="44"/>
        </w:rPr>
        <w:t>20</w:t>
      </w:r>
      <w:r>
        <w:rPr>
          <w:rFonts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shd w:val="clear" w:color="auto" w:fill="FFFFFF"/>
        </w:rPr>
        <w:t>年度政府信息公开工作的报告</w:t>
      </w:r>
    </w:p>
    <w:p>
      <w:pPr>
        <w:pStyle w:val="4"/>
        <w:widowControl/>
        <w:shd w:val="clear" w:color="auto" w:fill="FFFFFF"/>
        <w:spacing w:before="0" w:beforeAutospacing="0" w:after="0" w:afterAutospacing="0" w:line="560" w:lineRule="exact"/>
        <w:ind w:firstLine="641"/>
        <w:rPr>
          <w:rFonts w:ascii="仿宋_GB2312" w:hAnsi="仿宋_GB2312" w:eastAsia="仿宋_GB2312" w:cs="仿宋_GB2312"/>
          <w:sz w:val="32"/>
          <w:szCs w:val="32"/>
          <w:shd w:val="clear" w:color="auto" w:fill="FFFFFF"/>
        </w:rPr>
      </w:pPr>
      <w:r>
        <w:rPr>
          <w:rFonts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w:t>
      </w:r>
      <w:r>
        <w:rPr>
          <w:rFonts w:hint="eastAsia" w:ascii="仿宋_GB2312" w:hAnsi="仿宋_GB2312" w:eastAsia="仿宋_GB2312" w:cs="仿宋_GB2312"/>
          <w:color w:val="000000"/>
          <w:sz w:val="32"/>
          <w:szCs w:val="32"/>
          <w:shd w:val="clear" w:color="auto" w:fill="FFFFFF"/>
        </w:rPr>
        <w:t xml:space="preserve"> </w:t>
      </w:r>
      <w:r>
        <w:rPr>
          <w:rFonts w:hint="eastAsia" w:ascii="仿宋_GB2312" w:hAnsi="仿宋_GB2312" w:eastAsia="仿宋_GB2312" w:cs="仿宋_GB2312"/>
          <w:sz w:val="32"/>
          <w:szCs w:val="32"/>
          <w:shd w:val="clear" w:color="auto" w:fill="FFFFFF"/>
        </w:rPr>
        <w:t>依据《中华人民共和国政府信息公开条例》（以下简称《条例》）第五十条之规定，现将20</w:t>
      </w:r>
      <w:r>
        <w:rPr>
          <w:rFonts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rPr>
        <w:t>年萝北县教育局信息公开工作年度报告予以公布。本报告内容包括总体情况、主动公开政府信息情况、依申请公开和不予公开政府信息的情况、政府信息公开收费及减免情况、因政府信息公开申请行政复议、提起行政诉讼的情况、政府信息公开工作存在的问题、解决的对策和采取的措施。报告中所列数据的统计期限自20</w:t>
      </w:r>
      <w:r>
        <w:rPr>
          <w:rFonts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rPr>
        <w:t>年1月1日起至20</w:t>
      </w:r>
      <w:r>
        <w:rPr>
          <w:rFonts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rPr>
        <w:t>年12月31日止。</w:t>
      </w:r>
    </w:p>
    <w:p>
      <w:pPr>
        <w:ind w:firstLine="640" w:firstLineChars="200"/>
        <w:rPr>
          <w:rFonts w:ascii="黑体" w:hAnsi="黑体" w:eastAsia="黑体"/>
          <w:sz w:val="32"/>
          <w:szCs w:val="32"/>
        </w:rPr>
      </w:pPr>
      <w:r>
        <w:rPr>
          <w:rFonts w:hint="eastAsia" w:ascii="黑体" w:hAnsi="黑体" w:eastAsia="黑体"/>
          <w:sz w:val="32"/>
          <w:szCs w:val="32"/>
        </w:rPr>
        <w:t>一、总体情况</w:t>
      </w:r>
    </w:p>
    <w:p>
      <w:pPr>
        <w:ind w:firstLine="640" w:firstLineChars="200"/>
        <w:rPr>
          <w:rFonts w:ascii="仿宋_GB2312" w:eastAsia="仿宋_GB2312"/>
          <w:sz w:val="32"/>
          <w:szCs w:val="32"/>
        </w:rPr>
      </w:pPr>
      <w:r>
        <w:rPr>
          <w:rFonts w:hint="eastAsia" w:ascii="仿宋_GB2312" w:eastAsia="仿宋_GB2312"/>
          <w:sz w:val="32"/>
          <w:szCs w:val="32"/>
        </w:rPr>
        <w:t>在县委、县政府的正确领导下，认真贯彻落实《条例》和中央、省、市、县工作部署，坚持以公开透明、公平公正为主线，以服务中心、方便群众为立足点，以促进权力公开透明运行和重点领域信息公开工作为重点，围绕教育中心工作、贴近民生需要、强化公开措施，依法、及时、准确地公开了相关信息，推进政府信息公开工作深入开展。</w:t>
      </w:r>
    </w:p>
    <w:p>
      <w:pPr>
        <w:ind w:firstLine="643" w:firstLineChars="200"/>
        <w:rPr>
          <w:rFonts w:ascii="仿宋_GB2312" w:eastAsia="仿宋_GB2312"/>
          <w:sz w:val="32"/>
          <w:szCs w:val="32"/>
        </w:rPr>
      </w:pPr>
      <w:r>
        <w:rPr>
          <w:rFonts w:hint="eastAsia" w:ascii="楷体" w:hAnsi="楷体" w:eastAsia="楷体"/>
          <w:b/>
          <w:bCs/>
          <w:sz w:val="32"/>
          <w:szCs w:val="32"/>
        </w:rPr>
        <w:t>（一）健全组织机构，强化组织领导。</w:t>
      </w:r>
      <w:r>
        <w:rPr>
          <w:rFonts w:hint="eastAsia" w:ascii="仿宋_GB2312" w:eastAsia="仿宋_GB2312"/>
          <w:sz w:val="32"/>
          <w:szCs w:val="32"/>
        </w:rPr>
        <w:t>为进一步推进政府信息公开工作的扎实开展，成立萝北县教育局政府信息公开组织机构，明确1名党委委员分管此项工作，局办公室为政府信息公开工作部门，具体承办信息公开事项、维护和更新政府信息、编制信息公开指南、公开目录和年度报告、进行保密审查等。同时，把政府信息公开工作分解到具体的各个职能科室，形成了“工作分解到位、责任落实到人”的工作机制，保证了教育系统政府信息公开工作与日常工作融为一体，同步推进。</w:t>
      </w:r>
    </w:p>
    <w:p>
      <w:pPr>
        <w:ind w:firstLine="643" w:firstLineChars="200"/>
        <w:rPr>
          <w:rFonts w:ascii="仿宋_GB2312" w:eastAsia="仿宋_GB2312"/>
          <w:sz w:val="32"/>
          <w:szCs w:val="32"/>
        </w:rPr>
      </w:pPr>
      <w:r>
        <w:rPr>
          <w:rFonts w:hint="eastAsia" w:ascii="楷体" w:hAnsi="楷体" w:eastAsia="楷体"/>
          <w:b/>
          <w:bCs/>
          <w:sz w:val="32"/>
          <w:szCs w:val="32"/>
        </w:rPr>
        <w:t>（二）加强平台建设，严格过程管理。</w:t>
      </w:r>
      <w:r>
        <w:rPr>
          <w:rFonts w:hint="eastAsia" w:ascii="仿宋_GB2312" w:eastAsia="仿宋_GB2312"/>
          <w:sz w:val="32"/>
          <w:szCs w:val="32"/>
        </w:rPr>
        <w:t>全面做好教育系统信息公开建设，不断优化萝北县教育政务公开结构，实现信息及时更新、实时发布，确保了信息的时效性，提高了信息流量和服务水平，对加大教育宣传力度，拓宽公众沟通渠道，提高政府信息公开质量提供了有效的载体。依托智慧校园建设，积极推进全县教育信息化，规范和加强各类学校网站建设，积极推进信息技术在教育办公、教育教学的应用。</w:t>
      </w:r>
    </w:p>
    <w:p>
      <w:pPr>
        <w:ind w:firstLine="643" w:firstLineChars="200"/>
        <w:rPr>
          <w:rFonts w:ascii="仿宋_GB2312" w:eastAsia="仿宋_GB2312"/>
          <w:sz w:val="32"/>
          <w:szCs w:val="32"/>
        </w:rPr>
      </w:pPr>
      <w:r>
        <w:rPr>
          <w:rFonts w:hint="eastAsia" w:ascii="楷体" w:hAnsi="楷体" w:eastAsia="楷体"/>
          <w:b/>
          <w:bCs/>
          <w:sz w:val="32"/>
          <w:szCs w:val="32"/>
        </w:rPr>
        <w:t>（三）建立工作机制，严格规范管理。</w:t>
      </w:r>
      <w:r>
        <w:rPr>
          <w:rFonts w:hint="eastAsia" w:ascii="仿宋_GB2312" w:eastAsia="仿宋_GB2312"/>
          <w:sz w:val="32"/>
          <w:szCs w:val="32"/>
        </w:rPr>
        <w:t>严格遵循政府信息公开要求，健全文件公开制度，科室在拟文时按要求选择公开属性的类别（主动公开、依申请公开或不公开），科室负责人和局领导严格把关。确定需要公开的，通过萝北教育信息公开平台，第一时间内向社会公开，第一时间接受社会监督，进而提高政府信息公开的时效。</w:t>
      </w:r>
    </w:p>
    <w:p>
      <w:pPr>
        <w:spacing w:line="560" w:lineRule="exact"/>
        <w:ind w:firstLine="640" w:firstLineChars="200"/>
        <w:rPr>
          <w:rFonts w:ascii="黑体" w:hAnsi="宋体" w:eastAsia="黑体" w:cs="宋体"/>
          <w:color w:val="333333"/>
          <w:kern w:val="0"/>
          <w:szCs w:val="32"/>
        </w:rPr>
      </w:pPr>
      <w:r>
        <w:rPr>
          <w:rFonts w:hint="eastAsia" w:ascii="黑体" w:hAnsi="宋体" w:eastAsia="黑体" w:cs="黑体"/>
          <w:color w:val="333333"/>
          <w:sz w:val="32"/>
          <w:szCs w:val="32"/>
          <w:shd w:val="clear" w:color="auto" w:fill="FFFFFF"/>
        </w:rPr>
        <w:t>二、主动公开政府信息情况</w:t>
      </w:r>
    </w:p>
    <w:tbl>
      <w:tblPr>
        <w:tblStyle w:val="5"/>
        <w:tblW w:w="0" w:type="auto"/>
        <w:jc w:val="center"/>
        <w:tblLayout w:type="fixed"/>
        <w:tblCellMar>
          <w:top w:w="0" w:type="dxa"/>
          <w:left w:w="0" w:type="dxa"/>
          <w:bottom w:w="0" w:type="dxa"/>
          <w:right w:w="0" w:type="dxa"/>
        </w:tblCellMar>
      </w:tblPr>
      <w:tblGrid>
        <w:gridCol w:w="3465"/>
        <w:gridCol w:w="1875"/>
        <w:gridCol w:w="6"/>
        <w:gridCol w:w="1265"/>
        <w:gridCol w:w="2061"/>
      </w:tblGrid>
      <w:tr>
        <w:tblPrEx>
          <w:tblCellMar>
            <w:top w:w="0" w:type="dxa"/>
            <w:left w:w="0" w:type="dxa"/>
            <w:bottom w:w="0" w:type="dxa"/>
            <w:right w:w="0" w:type="dxa"/>
          </w:tblCellMar>
        </w:tblPrEx>
        <w:trPr>
          <w:trHeight w:val="495" w:hRule="atLeast"/>
          <w:jc w:val="center"/>
        </w:trPr>
        <w:tc>
          <w:tcPr>
            <w:tcW w:w="8672"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ascii="宋体" w:hAnsi="宋体" w:cs="宋体"/>
                <w:kern w:val="0"/>
                <w:sz w:val="20"/>
                <w:szCs w:val="20"/>
              </w:rPr>
              <w:t>公开数量</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r>
      <w:tr>
        <w:tblPrEx>
          <w:tblCellMar>
            <w:top w:w="0" w:type="dxa"/>
            <w:left w:w="0" w:type="dxa"/>
            <w:bottom w:w="0" w:type="dxa"/>
            <w:right w:w="0" w:type="dxa"/>
          </w:tblCellMar>
        </w:tblPrEx>
        <w:trPr>
          <w:trHeight w:val="471"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r>
      <w:tr>
        <w:tblPrEx>
          <w:tblCellMar>
            <w:top w:w="0" w:type="dxa"/>
            <w:left w:w="0" w:type="dxa"/>
            <w:bottom w:w="0" w:type="dxa"/>
            <w:right w:w="0" w:type="dxa"/>
          </w:tblCellMar>
        </w:tblPrEx>
        <w:trPr>
          <w:trHeight w:val="480" w:hRule="atLeast"/>
          <w:jc w:val="center"/>
        </w:trPr>
        <w:tc>
          <w:tcPr>
            <w:tcW w:w="8672" w:type="dxa"/>
            <w:gridSpan w:val="5"/>
            <w:tcBorders>
              <w:top w:val="single" w:color="auto" w:sz="8" w:space="0"/>
              <w:left w:val="single" w:color="auto" w:sz="8" w:space="0"/>
              <w:bottom w:val="single" w:color="auto" w:sz="4"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rPr>
            </w:pPr>
            <w:bookmarkStart w:id="0" w:name="_GoBack" w:colFirst="0" w:colLast="3"/>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465" w:type="dxa"/>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信息内容</w:t>
            </w:r>
          </w:p>
        </w:tc>
        <w:tc>
          <w:tcPr>
            <w:tcW w:w="1875" w:type="dxa"/>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上一年项目数量</w:t>
            </w:r>
          </w:p>
        </w:tc>
        <w:tc>
          <w:tcPr>
            <w:tcW w:w="1271" w:type="dxa"/>
            <w:gridSpan w:val="2"/>
            <w:tcBorders>
              <w:top w:val="single" w:color="auto" w:sz="4" w:space="0"/>
              <w:left w:val="single" w:color="auto" w:sz="4" w:space="0"/>
              <w:bottom w:val="single" w:color="auto" w:sz="8" w:space="0"/>
              <w:right w:val="single" w:color="auto" w:sz="4"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2061" w:type="dxa"/>
            <w:tcBorders>
              <w:top w:val="single" w:color="auto" w:sz="4" w:space="0"/>
              <w:left w:val="single" w:color="auto" w:sz="4"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处理决定数量</w:t>
            </w:r>
          </w:p>
        </w:tc>
      </w:tr>
      <w:bookmarkEnd w:id="0"/>
      <w:tr>
        <w:tblPrEx>
          <w:tblCellMar>
            <w:top w:w="0" w:type="dxa"/>
            <w:left w:w="0" w:type="dxa"/>
            <w:bottom w:w="0" w:type="dxa"/>
            <w:right w:w="0" w:type="dxa"/>
          </w:tblCellMar>
        </w:tblPrEx>
        <w:trPr>
          <w:trHeight w:val="528" w:hRule="atLeast"/>
          <w:jc w:val="center"/>
        </w:trPr>
        <w:tc>
          <w:tcPr>
            <w:tcW w:w="3465" w:type="dxa"/>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color w:val="000000"/>
                <w:kern w:val="0"/>
                <w:sz w:val="20"/>
                <w:szCs w:val="20"/>
              </w:rPr>
              <w:t>行政许可</w:t>
            </w:r>
          </w:p>
        </w:tc>
        <w:tc>
          <w:tcPr>
            <w:tcW w:w="1881" w:type="dxa"/>
            <w:gridSpan w:val="2"/>
            <w:tcBorders>
              <w:top w:val="single" w:color="auto" w:sz="8" w:space="0"/>
              <w:left w:val="nil"/>
              <w:bottom w:val="single" w:color="auto" w:sz="8" w:space="0"/>
              <w:right w:val="single" w:color="auto" w:sz="8" w:space="0"/>
            </w:tcBorders>
            <w:vAlign w:val="center"/>
          </w:tcPr>
          <w:p>
            <w:pPr>
              <w:widowControl/>
              <w:jc w:val="center"/>
              <w:rPr>
                <w:rFonts w:ascii="宋体" w:cs="宋体"/>
                <w:kern w:val="0"/>
                <w:sz w:val="20"/>
                <w:szCs w:val="20"/>
              </w:rPr>
            </w:pPr>
            <w:r>
              <w:rPr>
                <w:rFonts w:hint="eastAsia" w:ascii="宋体" w:cs="宋体"/>
                <w:kern w:val="0"/>
                <w:sz w:val="20"/>
                <w:szCs w:val="20"/>
              </w:rPr>
              <w:t>0</w:t>
            </w:r>
          </w:p>
        </w:tc>
        <w:tc>
          <w:tcPr>
            <w:tcW w:w="12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cs="宋体"/>
                <w:kern w:val="0"/>
                <w:sz w:val="20"/>
                <w:szCs w:val="20"/>
              </w:rPr>
              <w:t>0</w:t>
            </w:r>
          </w:p>
        </w:tc>
        <w:tc>
          <w:tcPr>
            <w:tcW w:w="206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cs="宋体"/>
                <w:kern w:val="0"/>
                <w:sz w:val="20"/>
                <w:szCs w:val="20"/>
              </w:rPr>
              <w:t>0</w:t>
            </w:r>
          </w:p>
        </w:tc>
      </w:tr>
      <w:tr>
        <w:tblPrEx>
          <w:tblCellMar>
            <w:top w:w="0" w:type="dxa"/>
            <w:left w:w="0" w:type="dxa"/>
            <w:bottom w:w="0" w:type="dxa"/>
            <w:right w:w="0" w:type="dxa"/>
          </w:tblCellMar>
        </w:tblPrEx>
        <w:trPr>
          <w:trHeight w:val="550" w:hRule="atLeast"/>
          <w:jc w:val="center"/>
        </w:trPr>
        <w:tc>
          <w:tcPr>
            <w:tcW w:w="3465" w:type="dxa"/>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vAlign w:val="center"/>
          </w:tcPr>
          <w:p>
            <w:pPr>
              <w:widowControl/>
              <w:jc w:val="center"/>
              <w:rPr>
                <w:rFonts w:ascii="宋体" w:cs="宋体"/>
                <w:kern w:val="0"/>
                <w:sz w:val="20"/>
                <w:szCs w:val="20"/>
              </w:rPr>
            </w:pPr>
            <w:r>
              <w:rPr>
                <w:rFonts w:ascii="宋体" w:cs="宋体"/>
                <w:kern w:val="0"/>
                <w:sz w:val="20"/>
                <w:szCs w:val="20"/>
              </w:rPr>
              <w:t>2</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ascii="宋体" w:cs="宋体"/>
                <w:kern w:val="0"/>
                <w:sz w:val="20"/>
                <w:szCs w:val="20"/>
              </w:rPr>
              <w:t>2</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ascii="宋体" w:cs="宋体"/>
                <w:kern w:val="0"/>
                <w:sz w:val="20"/>
                <w:szCs w:val="20"/>
              </w:rPr>
              <w:t>4</w:t>
            </w:r>
          </w:p>
        </w:tc>
      </w:tr>
      <w:tr>
        <w:tblPrEx>
          <w:tblCellMar>
            <w:top w:w="0" w:type="dxa"/>
            <w:left w:w="0" w:type="dxa"/>
            <w:bottom w:w="0" w:type="dxa"/>
            <w:right w:w="0" w:type="dxa"/>
          </w:tblCellMar>
        </w:tblPrEx>
        <w:trPr>
          <w:trHeight w:val="406" w:hRule="atLeast"/>
          <w:jc w:val="center"/>
        </w:trPr>
        <w:tc>
          <w:tcPr>
            <w:tcW w:w="867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465" w:type="dxa"/>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vAlign w:val="center"/>
          </w:tcPr>
          <w:p>
            <w:pPr>
              <w:widowControl/>
              <w:jc w:val="center"/>
              <w:rPr>
                <w:rFonts w:ascii="宋体" w:cs="宋体"/>
                <w:kern w:val="0"/>
                <w:sz w:val="20"/>
                <w:szCs w:val="20"/>
              </w:rPr>
            </w:pPr>
            <w:r>
              <w:rPr>
                <w:rFonts w:hint="eastAsia" w:ascii="宋体" w:cs="宋体"/>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cs="宋体"/>
                <w:kern w:val="0"/>
                <w:sz w:val="20"/>
                <w:szCs w:val="20"/>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cs="宋体"/>
                <w:kern w:val="0"/>
                <w:sz w:val="20"/>
                <w:szCs w:val="20"/>
              </w:rPr>
              <w:t>0</w:t>
            </w:r>
          </w:p>
        </w:tc>
      </w:tr>
      <w:tr>
        <w:tblPrEx>
          <w:tblCellMar>
            <w:top w:w="0" w:type="dxa"/>
            <w:left w:w="0" w:type="dxa"/>
            <w:bottom w:w="0" w:type="dxa"/>
            <w:right w:w="0" w:type="dxa"/>
          </w:tblCellMar>
        </w:tblPrEx>
        <w:trPr>
          <w:trHeight w:val="409" w:hRule="atLeast"/>
          <w:jc w:val="center"/>
        </w:trPr>
        <w:tc>
          <w:tcPr>
            <w:tcW w:w="3465" w:type="dxa"/>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vAlign w:val="center"/>
          </w:tcPr>
          <w:p>
            <w:pPr>
              <w:widowControl/>
              <w:jc w:val="center"/>
              <w:rPr>
                <w:rFonts w:ascii="宋体" w:cs="宋体"/>
                <w:kern w:val="0"/>
                <w:sz w:val="20"/>
                <w:szCs w:val="20"/>
              </w:rPr>
            </w:pPr>
            <w:r>
              <w:rPr>
                <w:rFonts w:hint="eastAsia" w:ascii="宋体" w:cs="宋体"/>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cs="宋体"/>
                <w:kern w:val="0"/>
                <w:sz w:val="20"/>
                <w:szCs w:val="20"/>
              </w:rPr>
              <w:t>0</w:t>
            </w:r>
          </w:p>
        </w:tc>
        <w:tc>
          <w:tcPr>
            <w:tcW w:w="206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0"/>
                <w:szCs w:val="20"/>
              </w:rPr>
            </w:pPr>
            <w:r>
              <w:rPr>
                <w:rFonts w:hint="eastAsia" w:ascii="宋体" w:cs="宋体"/>
                <w:kern w:val="0"/>
                <w:sz w:val="20"/>
                <w:szCs w:val="20"/>
              </w:rPr>
              <w:t>0</w:t>
            </w:r>
          </w:p>
        </w:tc>
      </w:tr>
      <w:tr>
        <w:tblPrEx>
          <w:tblCellMar>
            <w:top w:w="0" w:type="dxa"/>
            <w:left w:w="0" w:type="dxa"/>
            <w:bottom w:w="0" w:type="dxa"/>
            <w:right w:w="0" w:type="dxa"/>
          </w:tblCellMar>
        </w:tblPrEx>
        <w:trPr>
          <w:trHeight w:val="474" w:hRule="atLeast"/>
          <w:jc w:val="center"/>
        </w:trPr>
        <w:tc>
          <w:tcPr>
            <w:tcW w:w="867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rPr>
            </w:pPr>
            <w:r>
              <w:rPr>
                <w:rFonts w:hint="eastAsia" w:ascii="宋体" w:hAnsi="宋体" w:cs="宋体"/>
                <w:color w:val="000000"/>
                <w:kern w:val="0"/>
                <w:sz w:val="20"/>
                <w:szCs w:val="20"/>
              </w:rPr>
              <w:t>上一年项目数量</w:t>
            </w:r>
          </w:p>
        </w:tc>
        <w:tc>
          <w:tcPr>
            <w:tcW w:w="332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r>
      <w:tr>
        <w:tblPrEx>
          <w:tblCellMar>
            <w:top w:w="0" w:type="dxa"/>
            <w:left w:w="0" w:type="dxa"/>
            <w:bottom w:w="0" w:type="dxa"/>
            <w:right w:w="0" w:type="dxa"/>
          </w:tblCellMar>
        </w:tblPrEx>
        <w:trPr>
          <w:trHeight w:val="551"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33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r>
      <w:tr>
        <w:tblPrEx>
          <w:tblCellMar>
            <w:top w:w="0" w:type="dxa"/>
            <w:left w:w="0" w:type="dxa"/>
            <w:bottom w:w="0" w:type="dxa"/>
            <w:right w:w="0" w:type="dxa"/>
          </w:tblCellMar>
        </w:tblPrEx>
        <w:trPr>
          <w:trHeight w:val="476" w:hRule="atLeast"/>
          <w:jc w:val="center"/>
        </w:trPr>
        <w:tc>
          <w:tcPr>
            <w:tcW w:w="8672"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采购项目数量</w:t>
            </w:r>
          </w:p>
        </w:tc>
        <w:tc>
          <w:tcPr>
            <w:tcW w:w="332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46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332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r>
    </w:tbl>
    <w:p>
      <w:pPr>
        <w:widowControl/>
        <w:shd w:val="clear" w:color="auto" w:fill="FFFFFF"/>
        <w:spacing w:after="240"/>
        <w:ind w:firstLine="640" w:firstLineChars="200"/>
        <w:rPr>
          <w:rFonts w:ascii="黑体" w:eastAsia="黑体" w:cs="宋体"/>
          <w:kern w:val="0"/>
          <w:sz w:val="32"/>
          <w:szCs w:val="32"/>
        </w:rPr>
      </w:pPr>
      <w:r>
        <w:rPr>
          <w:rFonts w:hint="eastAsia" w:ascii="黑体" w:hAnsi="宋体" w:eastAsia="黑体" w:cs="宋体"/>
          <w:bCs/>
          <w:kern w:val="0"/>
          <w:sz w:val="32"/>
          <w:szCs w:val="32"/>
        </w:rPr>
        <w:t>三、收到和处理政府信息公开申请情况</w:t>
      </w:r>
    </w:p>
    <w:tbl>
      <w:tblPr>
        <w:tblStyle w:val="5"/>
        <w:tblW w:w="0" w:type="auto"/>
        <w:jc w:val="center"/>
        <w:tblLayout w:type="fixed"/>
        <w:tblCellMar>
          <w:top w:w="0" w:type="dxa"/>
          <w:left w:w="0" w:type="dxa"/>
          <w:bottom w:w="0" w:type="dxa"/>
          <w:right w:w="0" w:type="dxa"/>
        </w:tblCellMar>
      </w:tblPr>
      <w:tblGrid>
        <w:gridCol w:w="735"/>
        <w:gridCol w:w="614"/>
        <w:gridCol w:w="2490"/>
        <w:gridCol w:w="465"/>
        <w:gridCol w:w="660"/>
        <w:gridCol w:w="735"/>
        <w:gridCol w:w="900"/>
        <w:gridCol w:w="810"/>
        <w:gridCol w:w="630"/>
        <w:gridCol w:w="735"/>
      </w:tblGrid>
      <w:tr>
        <w:tblPrEx>
          <w:tblCellMar>
            <w:top w:w="0" w:type="dxa"/>
            <w:left w:w="0" w:type="dxa"/>
            <w:bottom w:w="0" w:type="dxa"/>
            <w:right w:w="0" w:type="dxa"/>
          </w:tblCellMar>
        </w:tblPrEx>
        <w:trPr>
          <w:jc w:val="center"/>
        </w:trPr>
        <w:tc>
          <w:tcPr>
            <w:tcW w:w="3839"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（本列数据的勾稽关系为：第一项加第二项之和，等于第三项加第四项之和）</w:t>
            </w:r>
          </w:p>
        </w:tc>
        <w:tc>
          <w:tcPr>
            <w:tcW w:w="493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383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kern w:val="0"/>
                <w:sz w:val="24"/>
              </w:rPr>
            </w:pPr>
          </w:p>
        </w:tc>
        <w:tc>
          <w:tcPr>
            <w:tcW w:w="46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自然人</w:t>
            </w:r>
          </w:p>
        </w:tc>
        <w:tc>
          <w:tcPr>
            <w:tcW w:w="373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法人或其他组织</w:t>
            </w:r>
          </w:p>
        </w:tc>
        <w:tc>
          <w:tcPr>
            <w:tcW w:w="73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3839"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kern w:val="0"/>
                <w:sz w:val="24"/>
              </w:rPr>
            </w:pPr>
          </w:p>
        </w:tc>
        <w:tc>
          <w:tcPr>
            <w:tcW w:w="465"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rPr>
            </w:pP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商业企业</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科研机构</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社会公益组织</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法律服务机构</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hAnsi="宋体" w:cs="宋体"/>
                <w:kern w:val="0"/>
                <w:sz w:val="20"/>
                <w:szCs w:val="20"/>
              </w:rPr>
              <w:t>其他</w:t>
            </w:r>
          </w:p>
        </w:tc>
        <w:tc>
          <w:tcPr>
            <w:tcW w:w="735"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rPr>
            </w:pPr>
          </w:p>
        </w:tc>
      </w:tr>
      <w:tr>
        <w:tblPrEx>
          <w:tblCellMar>
            <w:top w:w="0" w:type="dxa"/>
            <w:left w:w="0" w:type="dxa"/>
            <w:bottom w:w="0" w:type="dxa"/>
            <w:right w:w="0" w:type="dxa"/>
          </w:tblCellMar>
        </w:tblPrEx>
        <w:trPr>
          <w:jc w:val="center"/>
        </w:trPr>
        <w:tc>
          <w:tcPr>
            <w:tcW w:w="3839" w:type="dxa"/>
            <w:gridSpan w:val="3"/>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kern w:val="0"/>
                <w:sz w:val="20"/>
                <w:szCs w:val="20"/>
              </w:rPr>
              <w:t>一、本年新收政府信息公开申请数量</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r>
      <w:tr>
        <w:tblPrEx>
          <w:tblCellMar>
            <w:top w:w="0" w:type="dxa"/>
            <w:left w:w="0" w:type="dxa"/>
            <w:bottom w:w="0" w:type="dxa"/>
            <w:right w:w="0" w:type="dxa"/>
          </w:tblCellMar>
        </w:tblPrEx>
        <w:trPr>
          <w:jc w:val="center"/>
        </w:trPr>
        <w:tc>
          <w:tcPr>
            <w:tcW w:w="3839" w:type="dxa"/>
            <w:gridSpan w:val="3"/>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rPr>
            </w:pPr>
            <w:r>
              <w:rPr>
                <w:rFonts w:hint="eastAsia" w:ascii="宋体" w:hAnsi="宋体" w:cs="宋体"/>
                <w:kern w:val="0"/>
                <w:sz w:val="20"/>
                <w:szCs w:val="20"/>
              </w:rPr>
              <w:t>二、上年结转政府信息公开申请数量</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rPr>
            </w:pPr>
            <w:r>
              <w:rPr>
                <w:rFonts w:hint="eastAsia" w:ascii="宋体" w:cs="宋体"/>
                <w:kern w:val="0"/>
                <w:sz w:val="24"/>
              </w:rPr>
              <w:t>0</w:t>
            </w:r>
          </w:p>
        </w:tc>
      </w:tr>
      <w:tr>
        <w:tblPrEx>
          <w:tblCellMar>
            <w:top w:w="0" w:type="dxa"/>
            <w:left w:w="0" w:type="dxa"/>
            <w:bottom w:w="0" w:type="dxa"/>
            <w:right w:w="0" w:type="dxa"/>
          </w:tblCellMar>
        </w:tblPrEx>
        <w:trPr>
          <w:jc w:val="center"/>
        </w:trPr>
        <w:tc>
          <w:tcPr>
            <w:tcW w:w="735"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三、本年度办理结果</w:t>
            </w:r>
          </w:p>
        </w:tc>
        <w:tc>
          <w:tcPr>
            <w:tcW w:w="3104" w:type="dxa"/>
            <w:gridSpan w:val="2"/>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（一）予以公开</w:t>
            </w:r>
          </w:p>
        </w:tc>
        <w:tc>
          <w:tcPr>
            <w:tcW w:w="4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3104" w:type="dxa"/>
            <w:gridSpan w:val="2"/>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（二）部分公开（区分处理的，只计这一情形，不计其他情形）</w:t>
            </w:r>
          </w:p>
        </w:tc>
        <w:tc>
          <w:tcPr>
            <w:tcW w:w="4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（三）不予公开</w:t>
            </w:r>
          </w:p>
        </w:tc>
        <w:tc>
          <w:tcPr>
            <w:tcW w:w="24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1.属于国家秘密</w:t>
            </w:r>
          </w:p>
        </w:tc>
        <w:tc>
          <w:tcPr>
            <w:tcW w:w="4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2.其他法律行政法规禁止公开</w:t>
            </w:r>
          </w:p>
        </w:tc>
        <w:tc>
          <w:tcPr>
            <w:tcW w:w="4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3.危及“三安全一稳定”</w:t>
            </w:r>
          </w:p>
        </w:tc>
        <w:tc>
          <w:tcPr>
            <w:tcW w:w="46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4.保护第三方合法权益</w:t>
            </w:r>
          </w:p>
        </w:tc>
        <w:tc>
          <w:tcPr>
            <w:tcW w:w="46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5.属于三类内部事务信息</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6.属于四类过程性信息</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7.属于行政执法案卷</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8.属于行政查询事项</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（四）无法提供</w:t>
            </w: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1.本机关不掌握相关政府信息</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2.没有现成信息需要另行制作</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3.补正后申请内容仍不明确</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（五）不予处理</w:t>
            </w: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1.信访举报投诉类申请</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2.重复申请</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3.要求提供公开出版物</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4.无正当理由大量反复申请</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61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p>
        </w:tc>
        <w:tc>
          <w:tcPr>
            <w:tcW w:w="249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0"/>
                <w:szCs w:val="20"/>
              </w:rPr>
            </w:pPr>
            <w:r>
              <w:rPr>
                <w:rFonts w:hint="eastAsia" w:ascii="宋体" w:hAnsi="宋体" w:cs="宋体"/>
                <w:kern w:val="0"/>
                <w:sz w:val="20"/>
                <w:szCs w:val="20"/>
              </w:rPr>
              <w:t>5.要求行政机关确认或重新出具已获取信息</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3104" w:type="dxa"/>
            <w:gridSpan w:val="2"/>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（六）其他处理</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735"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p>
        </w:tc>
        <w:tc>
          <w:tcPr>
            <w:tcW w:w="3104" w:type="dxa"/>
            <w:gridSpan w:val="2"/>
            <w:tcBorders>
              <w:top w:val="nil"/>
              <w:left w:val="nil"/>
              <w:bottom w:val="single" w:color="auto" w:sz="8" w:space="0"/>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（七）总计</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r>
      <w:tr>
        <w:tblPrEx>
          <w:tblCellMar>
            <w:top w:w="0" w:type="dxa"/>
            <w:left w:w="0" w:type="dxa"/>
            <w:bottom w:w="0" w:type="dxa"/>
            <w:right w:w="0" w:type="dxa"/>
          </w:tblCellMar>
        </w:tblPrEx>
        <w:trPr>
          <w:jc w:val="center"/>
        </w:trPr>
        <w:tc>
          <w:tcPr>
            <w:tcW w:w="3839" w:type="dxa"/>
            <w:gridSpan w:val="3"/>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四、结转下年度继续办理</w:t>
            </w:r>
          </w:p>
        </w:tc>
        <w:tc>
          <w:tcPr>
            <w:tcW w:w="4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81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0</w:t>
            </w:r>
          </w:p>
        </w:tc>
        <w:tc>
          <w:tcPr>
            <w:tcW w:w="7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00" w:firstLineChars="100"/>
              <w:rPr>
                <w:rFonts w:ascii="宋体" w:hAnsi="宋体" w:cs="宋体"/>
                <w:kern w:val="0"/>
                <w:sz w:val="20"/>
                <w:szCs w:val="20"/>
              </w:rPr>
            </w:pPr>
            <w:r>
              <w:rPr>
                <w:rFonts w:hint="eastAsia" w:ascii="宋体" w:hAnsi="宋体" w:cs="宋体"/>
                <w:kern w:val="0"/>
                <w:sz w:val="20"/>
                <w:szCs w:val="20"/>
              </w:rPr>
              <w:t>0</w:t>
            </w:r>
          </w:p>
        </w:tc>
      </w:tr>
    </w:tbl>
    <w:p>
      <w:pPr>
        <w:widowControl/>
        <w:shd w:val="clear" w:color="auto" w:fill="FFFFFF"/>
        <w:spacing w:after="240"/>
        <w:ind w:firstLine="640" w:firstLineChars="200"/>
        <w:rPr>
          <w:rFonts w:ascii="仿宋" w:hAnsi="仿宋" w:eastAsia="仿宋" w:cs="仿宋"/>
          <w:sz w:val="32"/>
          <w:szCs w:val="32"/>
          <w:shd w:val="clear" w:color="auto" w:fill="FFFFFF"/>
        </w:rPr>
      </w:pPr>
      <w:r>
        <w:rPr>
          <w:rFonts w:hint="eastAsia" w:ascii="黑体" w:hAnsi="宋体" w:eastAsia="黑体" w:cs="黑体"/>
          <w:sz w:val="32"/>
          <w:szCs w:val="32"/>
          <w:shd w:val="clear" w:color="auto" w:fill="FFFFFF"/>
          <w:lang w:bidi="ar"/>
        </w:rPr>
        <w:t>四、政府信息公开行政复议、行政诉讼情况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589"/>
        <w:gridCol w:w="589"/>
        <w:gridCol w:w="590"/>
        <w:gridCol w:w="479"/>
        <w:gridCol w:w="590"/>
        <w:gridCol w:w="590"/>
        <w:gridCol w:w="592"/>
        <w:gridCol w:w="592"/>
        <w:gridCol w:w="477"/>
        <w:gridCol w:w="592"/>
        <w:gridCol w:w="592"/>
        <w:gridCol w:w="592"/>
        <w:gridCol w:w="592"/>
        <w:gridCol w:w="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836" w:type="dxa"/>
            <w:gridSpan w:val="5"/>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行政复议</w:t>
            </w:r>
          </w:p>
        </w:tc>
        <w:tc>
          <w:tcPr>
            <w:tcW w:w="5686" w:type="dxa"/>
            <w:gridSpan w:val="10"/>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589" w:type="dxa"/>
            <w:vMerge w:val="restart"/>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结果维持</w:t>
            </w:r>
          </w:p>
        </w:tc>
        <w:tc>
          <w:tcPr>
            <w:tcW w:w="589" w:type="dxa"/>
            <w:vMerge w:val="restart"/>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结果纠正</w:t>
            </w:r>
          </w:p>
        </w:tc>
        <w:tc>
          <w:tcPr>
            <w:tcW w:w="589" w:type="dxa"/>
            <w:vMerge w:val="restart"/>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其他结果</w:t>
            </w:r>
          </w:p>
        </w:tc>
        <w:tc>
          <w:tcPr>
            <w:tcW w:w="590" w:type="dxa"/>
            <w:vMerge w:val="restart"/>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尚未审结</w:t>
            </w:r>
          </w:p>
        </w:tc>
        <w:tc>
          <w:tcPr>
            <w:tcW w:w="479" w:type="dxa"/>
            <w:vMerge w:val="restart"/>
            <w:vAlign w:val="center"/>
          </w:tcPr>
          <w:p>
            <w:pPr>
              <w:spacing w:line="560" w:lineRule="exact"/>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总计</w:t>
            </w:r>
          </w:p>
        </w:tc>
        <w:tc>
          <w:tcPr>
            <w:tcW w:w="2841" w:type="dxa"/>
            <w:gridSpan w:val="5"/>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未经复议直接起诉</w:t>
            </w:r>
          </w:p>
        </w:tc>
        <w:tc>
          <w:tcPr>
            <w:tcW w:w="2845" w:type="dxa"/>
            <w:gridSpan w:val="5"/>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589" w:type="dxa"/>
            <w:vMerge w:val="continue"/>
            <w:vAlign w:val="center"/>
          </w:tcPr>
          <w:p>
            <w:pPr>
              <w:spacing w:line="560" w:lineRule="exact"/>
              <w:jc w:val="center"/>
              <w:rPr>
                <w:rFonts w:ascii="宋体" w:hAnsi="宋体" w:cs="宋体"/>
                <w:kern w:val="0"/>
                <w:sz w:val="20"/>
                <w:szCs w:val="20"/>
                <w:shd w:val="clear" w:color="auto" w:fill="FFFFFF"/>
              </w:rPr>
            </w:pPr>
          </w:p>
        </w:tc>
        <w:tc>
          <w:tcPr>
            <w:tcW w:w="589" w:type="dxa"/>
            <w:vMerge w:val="continue"/>
            <w:vAlign w:val="center"/>
          </w:tcPr>
          <w:p>
            <w:pPr>
              <w:spacing w:line="560" w:lineRule="exact"/>
              <w:jc w:val="center"/>
              <w:rPr>
                <w:rFonts w:ascii="宋体" w:hAnsi="宋体" w:cs="宋体"/>
                <w:kern w:val="0"/>
                <w:sz w:val="20"/>
                <w:szCs w:val="20"/>
                <w:shd w:val="clear" w:color="auto" w:fill="FFFFFF"/>
              </w:rPr>
            </w:pPr>
          </w:p>
        </w:tc>
        <w:tc>
          <w:tcPr>
            <w:tcW w:w="589" w:type="dxa"/>
            <w:vMerge w:val="continue"/>
            <w:vAlign w:val="center"/>
          </w:tcPr>
          <w:p>
            <w:pPr>
              <w:spacing w:line="560" w:lineRule="exact"/>
              <w:jc w:val="center"/>
              <w:rPr>
                <w:rFonts w:ascii="宋体" w:hAnsi="宋体" w:cs="宋体"/>
                <w:kern w:val="0"/>
                <w:sz w:val="20"/>
                <w:szCs w:val="20"/>
                <w:shd w:val="clear" w:color="auto" w:fill="FFFFFF"/>
              </w:rPr>
            </w:pPr>
          </w:p>
        </w:tc>
        <w:tc>
          <w:tcPr>
            <w:tcW w:w="590" w:type="dxa"/>
            <w:vMerge w:val="continue"/>
            <w:vAlign w:val="center"/>
          </w:tcPr>
          <w:p>
            <w:pPr>
              <w:spacing w:line="560" w:lineRule="exact"/>
              <w:jc w:val="center"/>
              <w:rPr>
                <w:rFonts w:ascii="宋体" w:hAnsi="宋体" w:cs="宋体"/>
                <w:kern w:val="0"/>
                <w:sz w:val="20"/>
                <w:szCs w:val="20"/>
                <w:shd w:val="clear" w:color="auto" w:fill="FFFFFF"/>
              </w:rPr>
            </w:pPr>
          </w:p>
        </w:tc>
        <w:tc>
          <w:tcPr>
            <w:tcW w:w="479" w:type="dxa"/>
            <w:vMerge w:val="continue"/>
            <w:vAlign w:val="center"/>
          </w:tcPr>
          <w:p>
            <w:pPr>
              <w:spacing w:line="560" w:lineRule="exact"/>
              <w:jc w:val="center"/>
              <w:rPr>
                <w:rFonts w:ascii="宋体" w:hAnsi="宋体" w:cs="宋体"/>
                <w:kern w:val="0"/>
                <w:sz w:val="20"/>
                <w:szCs w:val="20"/>
                <w:shd w:val="clear" w:color="auto" w:fill="FFFFFF"/>
              </w:rPr>
            </w:pPr>
          </w:p>
        </w:tc>
        <w:tc>
          <w:tcPr>
            <w:tcW w:w="590"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结果维持</w:t>
            </w:r>
          </w:p>
        </w:tc>
        <w:tc>
          <w:tcPr>
            <w:tcW w:w="590"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结果纠正</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其他结果</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尚未审结</w:t>
            </w:r>
          </w:p>
        </w:tc>
        <w:tc>
          <w:tcPr>
            <w:tcW w:w="477" w:type="dxa"/>
            <w:vAlign w:val="center"/>
          </w:tcPr>
          <w:p>
            <w:pPr>
              <w:spacing w:line="560" w:lineRule="exact"/>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总计</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结果维持</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结果纠正</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其他结果</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尚未审结</w:t>
            </w:r>
          </w:p>
        </w:tc>
        <w:tc>
          <w:tcPr>
            <w:tcW w:w="477" w:type="dxa"/>
            <w:vAlign w:val="center"/>
          </w:tcPr>
          <w:p>
            <w:pPr>
              <w:spacing w:line="560" w:lineRule="exact"/>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89"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89"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89"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90"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479"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90"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90"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477"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592"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c>
          <w:tcPr>
            <w:tcW w:w="477" w:type="dxa"/>
            <w:vAlign w:val="center"/>
          </w:tcPr>
          <w:p>
            <w:pPr>
              <w:spacing w:line="560" w:lineRule="exact"/>
              <w:jc w:val="center"/>
              <w:rPr>
                <w:rFonts w:ascii="宋体" w:hAnsi="宋体" w:cs="宋体"/>
                <w:kern w:val="0"/>
                <w:sz w:val="20"/>
                <w:szCs w:val="20"/>
                <w:shd w:val="clear" w:color="auto" w:fill="FFFFFF"/>
              </w:rPr>
            </w:pPr>
            <w:r>
              <w:rPr>
                <w:rFonts w:hint="eastAsia" w:ascii="宋体" w:hAnsi="宋体" w:cs="宋体"/>
                <w:kern w:val="0"/>
                <w:sz w:val="20"/>
                <w:szCs w:val="20"/>
                <w:shd w:val="clear" w:color="auto" w:fill="FFFFFF"/>
              </w:rPr>
              <w:t>0</w:t>
            </w:r>
          </w:p>
        </w:tc>
      </w:tr>
    </w:tbl>
    <w:p>
      <w:pPr>
        <w:pStyle w:val="4"/>
        <w:widowControl/>
        <w:shd w:val="clear" w:color="auto" w:fill="FFFFFF"/>
        <w:spacing w:before="0" w:beforeAutospacing="0" w:after="0" w:afterAutospacing="0" w:line="560" w:lineRule="exact"/>
        <w:ind w:firstLine="640" w:firstLineChars="200"/>
        <w:jc w:val="both"/>
        <w:rPr>
          <w:rFonts w:ascii="仿宋_GB2312" w:eastAsia="仿宋_GB2312" w:hAnsiTheme="minorHAnsi" w:cstheme="minorBidi"/>
          <w:sz w:val="32"/>
          <w:szCs w:val="32"/>
        </w:rPr>
      </w:pPr>
      <w:r>
        <w:rPr>
          <w:rFonts w:hint="eastAsia" w:ascii="黑体" w:hAnsi="宋体" w:eastAsia="黑体" w:cs="黑体"/>
          <w:color w:val="000000"/>
          <w:sz w:val="32"/>
          <w:szCs w:val="32"/>
          <w:shd w:val="clear" w:color="auto" w:fill="FFFFFF"/>
        </w:rPr>
        <w:t>五、政府信息公开工作存在的主要问题及改进措施</w:t>
      </w:r>
      <w:r>
        <w:rPr>
          <w:rFonts w:cs="Calibri"/>
          <w:color w:val="000000"/>
          <w:sz w:val="32"/>
          <w:szCs w:val="32"/>
          <w:shd w:val="clear" w:color="auto" w:fill="FFFFFF"/>
        </w:rPr>
        <w:br w:type="textWrapping"/>
      </w:r>
      <w:r>
        <w:rPr>
          <w:rFonts w:cs="Calibri"/>
          <w:color w:val="000000"/>
          <w:sz w:val="32"/>
          <w:szCs w:val="32"/>
          <w:shd w:val="clear" w:color="auto" w:fill="FFFFFF"/>
        </w:rPr>
        <w:t xml:space="preserve">      </w:t>
      </w:r>
      <w:r>
        <w:rPr>
          <w:rFonts w:ascii="仿宋_GB2312" w:eastAsia="仿宋_GB2312" w:hAnsiTheme="minorHAnsi" w:cstheme="minorBidi"/>
          <w:sz w:val="32"/>
          <w:szCs w:val="32"/>
        </w:rPr>
        <w:t>县教育局政府信息公开工作在上级主管部门的正确领导和悉心指导下做了大量工作，但对照上级要求和群众期待，还存在政务公开标准不够高，公开内容需进一步扩充，公开渠道需进一步拓宽、公开形式需进一步丰富等问题。在今后的工作中需要进一步提高。按照《条例》的规定和县政府的工作要求，县教育局下一阶段将主要做好以下几方面工作：</w:t>
      </w:r>
    </w:p>
    <w:p>
      <w:pPr>
        <w:ind w:firstLine="643" w:firstLineChars="200"/>
        <w:rPr>
          <w:rFonts w:ascii="仿宋_GB2312" w:eastAsia="仿宋_GB2312" w:hAnsiTheme="minorHAnsi" w:cstheme="minorBidi"/>
          <w:sz w:val="32"/>
          <w:szCs w:val="32"/>
        </w:rPr>
      </w:pPr>
      <w:r>
        <w:rPr>
          <w:rFonts w:hint="eastAsia" w:ascii="楷体" w:hAnsi="楷体" w:eastAsia="楷体" w:cstheme="minorBidi"/>
          <w:b/>
          <w:bCs/>
          <w:sz w:val="32"/>
          <w:szCs w:val="32"/>
        </w:rPr>
        <w:t>一是提高认识，以公开促进发展。</w:t>
      </w:r>
      <w:r>
        <w:rPr>
          <w:rFonts w:hint="eastAsia" w:ascii="仿宋_GB2312" w:eastAsia="仿宋_GB2312" w:hAnsiTheme="minorHAnsi" w:cstheme="minorBidi"/>
          <w:sz w:val="32"/>
          <w:szCs w:val="32"/>
        </w:rPr>
        <w:t>继续强化政府信息公开工作组织领导，充分认识做好政府信息公开工作的重大意义，切实转变思想观念，增强政务公开工作的主动性和自觉性，以政府信息公开服务领导决策、服务中心工作开展、服务人民群众信息需求，着力做到以公开促公正、以公开立公信，维护法治政府、透明政府的良好形象。</w:t>
      </w:r>
    </w:p>
    <w:p>
      <w:pPr>
        <w:ind w:firstLine="643" w:firstLineChars="200"/>
        <w:rPr>
          <w:rFonts w:ascii="仿宋_GB2312" w:eastAsia="仿宋_GB2312" w:hAnsiTheme="minorHAnsi" w:cstheme="minorBidi"/>
          <w:sz w:val="32"/>
          <w:szCs w:val="32"/>
        </w:rPr>
      </w:pPr>
      <w:r>
        <w:rPr>
          <w:rFonts w:hint="eastAsia" w:ascii="楷体" w:hAnsi="楷体" w:eastAsia="楷体" w:cstheme="minorBidi"/>
          <w:b/>
          <w:bCs/>
          <w:sz w:val="32"/>
          <w:szCs w:val="32"/>
        </w:rPr>
        <w:t>二是务求实效，以公开回应关切。</w:t>
      </w:r>
      <w:r>
        <w:rPr>
          <w:rFonts w:hint="eastAsia" w:ascii="仿宋_GB2312" w:eastAsia="仿宋_GB2312" w:hAnsiTheme="minorHAnsi" w:cstheme="minorBidi"/>
          <w:sz w:val="32"/>
          <w:szCs w:val="32"/>
        </w:rPr>
        <w:t>全面贯彻落实关于推进政务公开工作的实施意见，并按照新条例和省市有关文件精神，制定县教育局全面推进政务公开工作的意见的实施细则。进一步深化社会关注的重点领域信息公开，明确教育领域政务公开内容，修订完善主动公开目录，确保应公开尽公开。加大对教育重点工作、重要决策部署、教育改革措施的解读力度，及时关注舆情，回应社会关切。</w:t>
      </w:r>
    </w:p>
    <w:p>
      <w:pPr>
        <w:ind w:firstLine="643" w:firstLineChars="200"/>
        <w:rPr>
          <w:rFonts w:ascii="仿宋_GB2312" w:eastAsia="仿宋_GB2312" w:hAnsiTheme="minorHAnsi" w:cstheme="minorBidi"/>
          <w:sz w:val="32"/>
          <w:szCs w:val="32"/>
        </w:rPr>
      </w:pPr>
      <w:r>
        <w:rPr>
          <w:rFonts w:hint="eastAsia" w:ascii="楷体" w:hAnsi="楷体" w:eastAsia="楷体" w:cstheme="minorBidi"/>
          <w:b/>
          <w:bCs/>
          <w:sz w:val="32"/>
          <w:szCs w:val="32"/>
        </w:rPr>
        <w:t>三是拓宽渠道，以公开提质效。</w:t>
      </w:r>
      <w:r>
        <w:rPr>
          <w:rFonts w:hint="eastAsia" w:ascii="仿宋_GB2312" w:eastAsia="仿宋_GB2312" w:hAnsiTheme="minorHAnsi" w:cstheme="minorBidi"/>
          <w:sz w:val="32"/>
          <w:szCs w:val="32"/>
        </w:rPr>
        <w:t>进一步整合优化县教育局政府信息公开平台，围绕公众关切梳理、整合各类教育信息，优化政府信息相关专题，使群众获取信息更加便捷；加强对“互联网</w:t>
      </w:r>
      <w:r>
        <w:rPr>
          <w:rFonts w:ascii="仿宋_GB2312" w:eastAsia="仿宋_GB2312" w:hAnsiTheme="minorHAnsi" w:cstheme="minorBidi"/>
          <w:sz w:val="32"/>
          <w:szCs w:val="32"/>
        </w:rPr>
        <w:t>+”、微博、微信等新技术、新媒体的学习和应用，推进互联网和政府信息公开工作的深度融合，运用网络客户端、微博、微信主动及时向社会群众公开热点信息。</w:t>
      </w:r>
    </w:p>
    <w:p>
      <w:pPr>
        <w:ind w:firstLine="643" w:firstLineChars="200"/>
        <w:rPr>
          <w:rFonts w:ascii="仿宋_GB2312" w:eastAsia="仿宋_GB2312" w:hAnsiTheme="minorHAnsi" w:cstheme="minorBidi"/>
          <w:sz w:val="32"/>
          <w:szCs w:val="32"/>
        </w:rPr>
      </w:pPr>
      <w:r>
        <w:rPr>
          <w:rFonts w:hint="eastAsia" w:ascii="楷体" w:hAnsi="楷体" w:eastAsia="楷体" w:cstheme="minorBidi"/>
          <w:b/>
          <w:bCs/>
          <w:sz w:val="32"/>
          <w:szCs w:val="32"/>
        </w:rPr>
        <w:t>四是加强审查，确保信息安全。</w:t>
      </w:r>
      <w:r>
        <w:rPr>
          <w:rFonts w:hint="eastAsia" w:ascii="仿宋_GB2312" w:eastAsia="仿宋_GB2312" w:hAnsiTheme="minorHAnsi" w:cstheme="minorBidi"/>
          <w:sz w:val="32"/>
          <w:szCs w:val="32"/>
        </w:rPr>
        <w:t>对照政府信息公开的具体要求，认真清理政府信息公开事项，查漏补缺，修订信息公开指南和目录，确保应公开的政府信息全部公开。同时严把质量关、保密审查关，依据有关法律、法规严格审核公开内容。</w:t>
      </w:r>
    </w:p>
    <w:p>
      <w:pPr>
        <w:pStyle w:val="4"/>
        <w:shd w:val="clear" w:color="auto" w:fill="FFFFFF"/>
        <w:spacing w:before="0" w:beforeAutospacing="0" w:after="0" w:afterAutospacing="0" w:line="480" w:lineRule="auto"/>
        <w:ind w:firstLine="480"/>
        <w:jc w:val="both"/>
        <w:rPr>
          <w:rFonts w:ascii="黑体" w:hAnsi="黑体" w:eastAsia="黑体" w:cs="黑体"/>
          <w:color w:val="000000"/>
          <w:kern w:val="2"/>
          <w:sz w:val="32"/>
          <w:szCs w:val="32"/>
          <w:shd w:val="clear" w:color="auto" w:fill="FFFFFF"/>
        </w:rPr>
      </w:pPr>
      <w:r>
        <w:rPr>
          <w:rFonts w:hint="eastAsia" w:ascii="黑体" w:hAnsi="黑体" w:eastAsia="黑体" w:cs="黑体"/>
          <w:color w:val="000000"/>
          <w:kern w:val="2"/>
          <w:sz w:val="32"/>
          <w:szCs w:val="32"/>
          <w:shd w:val="clear" w:color="auto" w:fill="FFFFFF"/>
        </w:rPr>
        <w:t>六、其他需要报告事项</w:t>
      </w:r>
    </w:p>
    <w:p>
      <w:pPr>
        <w:spacing w:line="560" w:lineRule="exact"/>
        <w:ind w:firstLine="640" w:firstLineChars="200"/>
        <w:rPr>
          <w:rFonts w:ascii="仿宋_GB2312" w:hAnsi="黑体" w:eastAsia="仿宋_GB2312"/>
          <w:sz w:val="32"/>
          <w:szCs w:val="32"/>
        </w:rPr>
      </w:pPr>
      <w:r>
        <w:rPr>
          <w:rFonts w:hint="eastAsia" w:ascii="仿宋_GB2312" w:hAnsi="微软雅黑" w:eastAsia="仿宋_GB2312"/>
          <w:color w:val="555555"/>
          <w:sz w:val="32"/>
          <w:szCs w:val="32"/>
          <w:shd w:val="clear" w:color="auto" w:fill="FFFFFF"/>
        </w:rPr>
        <w:t>没有其他需要报告的事项</w:t>
      </w:r>
    </w:p>
    <w:p>
      <w:pPr>
        <w:spacing w:line="560" w:lineRule="exact"/>
        <w:ind w:left="2512" w:leftChars="1196" w:firstLine="525" w:firstLineChars="250"/>
        <w:rPr>
          <w:rFonts w:hAnsi="黑体"/>
          <w:szCs w:val="32"/>
        </w:rPr>
      </w:pPr>
    </w:p>
    <w:p>
      <w:pPr>
        <w:spacing w:line="560" w:lineRule="exact"/>
        <w:ind w:left="4998" w:leftChars="2380" w:firstLine="320" w:firstLineChars="100"/>
        <w:jc w:val="left"/>
        <w:rPr>
          <w:rFonts w:ascii="仿宋_GB2312" w:hAnsi="仿宋" w:eastAsia="仿宋_GB2312" w:cs="仿宋"/>
          <w:kern w:val="0"/>
          <w:sz w:val="32"/>
          <w:szCs w:val="32"/>
          <w:shd w:val="clear" w:color="auto" w:fill="FFFFFF"/>
          <w:lang w:bidi="ar"/>
        </w:rPr>
      </w:pPr>
    </w:p>
    <w:p>
      <w:pPr>
        <w:spacing w:line="560" w:lineRule="exact"/>
        <w:ind w:left="4998" w:leftChars="2380" w:firstLine="320" w:firstLineChars="100"/>
        <w:jc w:val="left"/>
        <w:rPr>
          <w:rFonts w:ascii="仿宋_GB2312" w:hAnsi="仿宋" w:eastAsia="仿宋_GB2312" w:cs="仿宋"/>
          <w:kern w:val="0"/>
          <w:sz w:val="32"/>
          <w:szCs w:val="32"/>
          <w:shd w:val="clear" w:color="auto" w:fill="FFFFFF"/>
          <w:lang w:bidi="ar"/>
        </w:rPr>
      </w:pPr>
    </w:p>
    <w:p>
      <w:pPr>
        <w:spacing w:line="560" w:lineRule="exact"/>
        <w:ind w:left="4998" w:leftChars="2380" w:firstLine="320" w:firstLineChars="100"/>
        <w:jc w:val="left"/>
        <w:rPr>
          <w:rFonts w:ascii="仿宋_GB2312" w:hAnsi="仿宋_GB2312" w:eastAsia="仿宋_GB2312" w:cs="仿宋_GB2312"/>
          <w:sz w:val="32"/>
          <w:szCs w:val="32"/>
        </w:rPr>
      </w:pPr>
      <w:r>
        <w:rPr>
          <w:rFonts w:hint="eastAsia" w:ascii="仿宋_GB2312" w:hAnsi="仿宋" w:eastAsia="仿宋_GB2312" w:cs="仿宋"/>
          <w:kern w:val="0"/>
          <w:sz w:val="32"/>
          <w:szCs w:val="32"/>
          <w:shd w:val="clear" w:color="auto" w:fill="FFFFFF"/>
          <w:lang w:bidi="ar"/>
        </w:rPr>
        <w:t>萝北县教育局</w:t>
      </w:r>
      <w:r>
        <w:rPr>
          <w:rFonts w:hint="eastAsia" w:ascii="仿宋_GB2312" w:hAnsi="仿宋_GB2312" w:eastAsia="仿宋_GB2312" w:cs="仿宋_GB2312"/>
          <w:sz w:val="32"/>
          <w:szCs w:val="32"/>
        </w:rPr>
        <w:t xml:space="preserve">                                      20</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日</w:t>
      </w:r>
    </w:p>
    <w:p>
      <w:pPr>
        <w:pStyle w:val="4"/>
        <w:shd w:val="clear" w:color="auto" w:fill="FFFFFF"/>
        <w:spacing w:before="0" w:beforeAutospacing="0" w:after="0" w:afterAutospacing="0" w:line="560" w:lineRule="exact"/>
        <w:ind w:firstLine="645"/>
        <w:jc w:val="both"/>
        <w:rPr>
          <w:rFonts w:ascii="仿宋_GB2312" w:hAnsi="仿宋" w:eastAsia="仿宋_GB2312" w:cs="仿宋"/>
          <w:sz w:val="32"/>
          <w:szCs w:val="32"/>
          <w:shd w:val="clear" w:color="auto" w:fill="FFFFFF"/>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35"/>
    <w:rsid w:val="00167283"/>
    <w:rsid w:val="00183705"/>
    <w:rsid w:val="00334EE5"/>
    <w:rsid w:val="004E574D"/>
    <w:rsid w:val="007104B2"/>
    <w:rsid w:val="009D3D37"/>
    <w:rsid w:val="00AD228C"/>
    <w:rsid w:val="00B90A35"/>
    <w:rsid w:val="00C248DF"/>
    <w:rsid w:val="00C42D16"/>
    <w:rsid w:val="00DA6367"/>
    <w:rsid w:val="00E21FBC"/>
    <w:rsid w:val="00EB646C"/>
    <w:rsid w:val="08730B56"/>
    <w:rsid w:val="12DD1061"/>
    <w:rsid w:val="1AD000C5"/>
    <w:rsid w:val="35071D76"/>
    <w:rsid w:val="3D404C63"/>
    <w:rsid w:val="46897F09"/>
    <w:rsid w:val="5EEA0735"/>
    <w:rsid w:val="79171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字符"/>
    <w:basedOn w:val="7"/>
    <w:link w:val="3"/>
    <w:qFormat/>
    <w:uiPriority w:val="99"/>
    <w:rPr>
      <w:rFonts w:ascii="Calibri" w:hAnsi="Calibri" w:eastAsia="宋体" w:cs="Times New Roman"/>
      <w:sz w:val="18"/>
      <w:szCs w:val="18"/>
    </w:rPr>
  </w:style>
  <w:style w:type="character" w:customStyle="1" w:styleId="10">
    <w:name w:val="页脚 字符"/>
    <w:basedOn w:val="7"/>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482</Words>
  <Characters>2749</Characters>
  <Lines>22</Lines>
  <Paragraphs>6</Paragraphs>
  <TotalTime>36</TotalTime>
  <ScaleCrop>false</ScaleCrop>
  <LinksUpToDate>false</LinksUpToDate>
  <CharactersWithSpaces>3225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2021-01-14T11:10:00Z</dcterms:created>
  <dc:creator> </dc:creator>
  <cp:lastModifiedBy>Administrator</cp:lastModifiedBy>
  <dcterms:modified xsi:type="dcterms:W3CDTF">2021-01-20T06:22:08Z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