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color w:val="auto"/>
          <w:kern w:val="2"/>
          <w:sz w:val="44"/>
          <w:szCs w:val="44"/>
          <w:highlight w:val="none"/>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bCs/>
          <w:color w:val="auto"/>
          <w:kern w:val="2"/>
          <w:sz w:val="44"/>
          <w:szCs w:val="44"/>
          <w:highlight w:val="none"/>
          <w:lang w:val="en-US" w:eastAsia="zh-CN" w:bidi="ar-SA"/>
        </w:rPr>
      </w:pPr>
      <w:bookmarkStart w:id="0" w:name="_GoBack"/>
      <w:bookmarkEnd w:id="0"/>
      <w:r>
        <w:rPr>
          <w:rFonts w:hint="eastAsia" w:ascii="方正小标宋简体" w:hAnsi="方正小标宋简体" w:eastAsia="方正小标宋简体" w:cs="方正小标宋简体"/>
          <w:b w:val="0"/>
          <w:bCs w:val="0"/>
          <w:color w:val="auto"/>
          <w:kern w:val="2"/>
          <w:sz w:val="44"/>
          <w:szCs w:val="44"/>
          <w:highlight w:val="none"/>
          <w:lang w:val="en-US" w:eastAsia="zh-CN" w:bidi="ar-SA"/>
        </w:rPr>
        <w:t>萝北县“十四五”国有粮食企业国资发展规划</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bCs/>
          <w:color w:val="auto"/>
          <w:kern w:val="2"/>
          <w:sz w:val="44"/>
          <w:szCs w:val="44"/>
          <w:highlight w:val="none"/>
          <w:lang w:val="en-US" w:eastAsia="zh-CN" w:bidi="ar-SA"/>
        </w:rPr>
      </w:pP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color w:val="000000" w:themeColor="text1"/>
          <w:kern w:val="0"/>
          <w:sz w:val="32"/>
          <w:szCs w:val="32"/>
        </w:rPr>
      </w:pPr>
      <w:r>
        <w:rPr>
          <w:rFonts w:hint="eastAsia" w:ascii="黑体" w:hAnsi="黑体" w:eastAsia="黑体" w:cs="黑体"/>
          <w:b w:val="0"/>
          <w:bCs/>
          <w:color w:val="000000" w:themeColor="text1"/>
          <w:kern w:val="0"/>
          <w:sz w:val="32"/>
          <w:szCs w:val="32"/>
        </w:rPr>
        <w:t>一、指导思想</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以习近平新时代中国特色社会主义思想为指导，深入贯彻党的十九大和习近平总书记对东北地区对黑龙江和粮食储备领域的重要讲话、重要指示批示精神，根据习近平新时代总体国家安全观、新粮食安全观，进一步增强忧患意识，保持战略定力，把粮食工作融入国家粮食安全大局，认真落实国家和省关于深入实施粮食安全战略、推进东北振兴和抓好“粮头食尾”“农头工尾”、实施“百千万”工程等重要部署，适应统筹推进疫情防控和经济社会发展新形势，坚持安全稳定廉政“三条底线”，聚焦严格落实粮食安全县长责任制，大力实施“优质粮食工程”，加快构建粮食流通新机制和现代化粮食产业体系，努力推动粮食产业高质量发展。依法抓好粮食流通执法督查，保障粮油市场保供稳价，切实做好国家粮食安全的“压舱石”。</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color w:val="000000" w:themeColor="text1"/>
          <w:kern w:val="0"/>
          <w:sz w:val="32"/>
          <w:szCs w:val="32"/>
        </w:rPr>
      </w:pPr>
      <w:r>
        <w:rPr>
          <w:rFonts w:hint="eastAsia" w:ascii="黑体" w:hAnsi="黑体" w:eastAsia="黑体" w:cs="黑体"/>
          <w:b w:val="0"/>
          <w:bCs/>
          <w:color w:val="000000" w:themeColor="text1"/>
          <w:kern w:val="0"/>
          <w:sz w:val="32"/>
          <w:szCs w:val="32"/>
        </w:rPr>
        <w:t>二、总体思路</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themeColor="text1"/>
          <w:kern w:val="0"/>
          <w:sz w:val="32"/>
          <w:szCs w:val="32"/>
        </w:rPr>
        <w:t>以深化地方国有粮食购销企业“转型升级、创新发展”为主线，围绕“把饭碗牢牢端在自己手里”为目标，进一步加强粮食宏观调控，重视粮情预警、应急保供、质量监测、仓储物流体系建设，坚决保障国家粮食安全。持续推进粮食流通体制市场化改革，优化粮食产业发展结构，推进企业改革创新，发展混合所有制经济，促进多元化粮食企业合作发展。着力加强粮食供应应急保障能力建设，加快粮食流通提档升级、提质增效、提速转型</w:t>
      </w:r>
      <w:r>
        <w:rPr>
          <w:rFonts w:hint="eastAsia" w:ascii="仿宋_GB2312" w:hAnsi="仿宋_GB2312" w:eastAsia="仿宋_GB2312" w:cs="仿宋_GB2312"/>
          <w:color w:val="000000" w:themeColor="text1"/>
          <w:sz w:val="32"/>
          <w:szCs w:val="32"/>
        </w:rPr>
        <w:t>。大力实施“优质粮食工程”，</w:t>
      </w:r>
      <w:r>
        <w:rPr>
          <w:rFonts w:hint="eastAsia" w:ascii="仿宋_GB2312" w:hAnsi="仿宋_GB2312" w:eastAsia="仿宋_GB2312" w:cs="仿宋_GB2312"/>
          <w:color w:val="000000" w:themeColor="text1"/>
          <w:kern w:val="0"/>
          <w:sz w:val="32"/>
          <w:szCs w:val="32"/>
        </w:rPr>
        <w:t>加快粮食产业结构调整，抓好粮食产销合作和产业链延伸，加快推进粮食产业协调发展</w:t>
      </w:r>
      <w:r>
        <w:rPr>
          <w:rFonts w:hint="eastAsia" w:ascii="仿宋_GB2312" w:hAnsi="仿宋_GB2312" w:eastAsia="仿宋_GB2312" w:cs="仿宋_GB2312"/>
          <w:sz w:val="32"/>
          <w:szCs w:val="32"/>
        </w:rPr>
        <w:t>，为粮食事业转型发展做出积极的贡献。</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color w:val="000000" w:themeColor="text1"/>
          <w:kern w:val="0"/>
          <w:sz w:val="32"/>
          <w:szCs w:val="32"/>
        </w:rPr>
      </w:pPr>
      <w:r>
        <w:rPr>
          <w:rFonts w:hint="eastAsia" w:ascii="黑体" w:hAnsi="黑体" w:eastAsia="黑体" w:cs="黑体"/>
          <w:b w:val="0"/>
          <w:bCs/>
          <w:color w:val="000000" w:themeColor="text1"/>
          <w:kern w:val="0"/>
          <w:sz w:val="32"/>
          <w:szCs w:val="32"/>
        </w:rPr>
        <w:t>三、重点任务</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kern w:val="0"/>
          <w:sz w:val="32"/>
          <w:szCs w:val="32"/>
        </w:rPr>
      </w:pPr>
      <w:r>
        <w:rPr>
          <w:rFonts w:hint="eastAsia" w:ascii="仿宋_GB2312" w:hAnsi="仿宋_GB2312" w:eastAsia="仿宋_GB2312" w:cs="仿宋_GB2312"/>
          <w:color w:val="000000" w:themeColor="text1"/>
          <w:kern w:val="0"/>
          <w:sz w:val="32"/>
          <w:szCs w:val="32"/>
        </w:rPr>
        <w:t>到2025年全面建成布局合理、结构优化、设施完善、物流畅通、应急高效、质量安全、调控有力、监管到位的现代粮食流通新格局。重点发展目标是：</w:t>
      </w:r>
    </w:p>
    <w:p>
      <w:pPr>
        <w:keepNext w:val="0"/>
        <w:keepLines w:val="0"/>
        <w:pageBreakBefore w:val="0"/>
        <w:widowControl/>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000000" w:themeColor="text1"/>
          <w:kern w:val="0"/>
          <w:sz w:val="32"/>
          <w:szCs w:val="32"/>
        </w:rPr>
      </w:pPr>
      <w:r>
        <w:rPr>
          <w:rFonts w:hint="eastAsia" w:ascii="楷体_GB2312" w:hAnsi="楷体_GB2312" w:eastAsia="楷体_GB2312" w:cs="楷体_GB2312"/>
          <w:b/>
          <w:bCs w:val="0"/>
          <w:color w:val="000000" w:themeColor="text1"/>
          <w:kern w:val="0"/>
          <w:sz w:val="32"/>
          <w:szCs w:val="32"/>
        </w:rPr>
        <w:t>——健全粮食宏观调控体系。</w:t>
      </w:r>
      <w:r>
        <w:rPr>
          <w:rFonts w:hint="eastAsia" w:ascii="仿宋_GB2312" w:hAnsi="仿宋_GB2312" w:eastAsia="仿宋_GB2312" w:cs="仿宋_GB2312"/>
          <w:color w:val="000000" w:themeColor="text1"/>
          <w:kern w:val="0"/>
          <w:sz w:val="32"/>
          <w:szCs w:val="32"/>
        </w:rPr>
        <w:t>充分发挥地方国有粮食购销企业购销主渠道作用，持续抓好国家政策性粮食收储和粮食市场化购销，预计年政策性粮食收储量30万吨、销售出库量20万吨、市场化营销量10万吨，粮食储备量达到180万吨规模。积极创新经营方式，引导多元主体入市收购粮食，并开展多方位、多层次合作经营，切实全县搞活粮食流通，促进农民余粮顺畅销售，不出现区域性农民“卖粮难”，切实保障农民增收、企业增效。切实抓好</w:t>
      </w:r>
      <w:r>
        <w:rPr>
          <w:rFonts w:hint="eastAsia" w:ascii="仿宋_GB2312" w:hAnsi="仿宋_GB2312" w:eastAsia="仿宋_GB2312" w:cs="仿宋_GB2312"/>
          <w:color w:val="000000" w:themeColor="text1"/>
          <w:sz w:val="32"/>
          <w:szCs w:val="32"/>
        </w:rPr>
        <w:t>粮食应急体系建设，</w:t>
      </w:r>
      <w:r>
        <w:rPr>
          <w:rFonts w:hint="eastAsia" w:ascii="仿宋_GB2312" w:hAnsi="仿宋_GB2312" w:eastAsia="仿宋_GB2312" w:cs="仿宋_GB2312"/>
          <w:color w:val="000000" w:themeColor="text1"/>
          <w:kern w:val="0"/>
          <w:sz w:val="32"/>
          <w:szCs w:val="32"/>
        </w:rPr>
        <w:t>进一步提高粮食应急保障能力，应急供应网点设置充裕，应急加工企业和应急运输网点充足有力。坚持抓好粮油市场应急供应</w:t>
      </w:r>
      <w:r>
        <w:rPr>
          <w:rFonts w:hint="eastAsia" w:ascii="仿宋_GB2312" w:hAnsi="仿宋_GB2312" w:eastAsia="仿宋_GB2312" w:cs="仿宋_GB2312"/>
          <w:color w:val="000000" w:themeColor="text1"/>
          <w:sz w:val="32"/>
          <w:szCs w:val="32"/>
        </w:rPr>
        <w:t>监测监控和掌握价格波动情况，为粮食应急供应保障和价格稳定提供必要条件</w:t>
      </w:r>
      <w:r>
        <w:rPr>
          <w:rFonts w:hint="eastAsia" w:ascii="仿宋_GB2312" w:hAnsi="仿宋_GB2312" w:eastAsia="仿宋_GB2312" w:cs="仿宋_GB2312"/>
          <w:color w:val="000000" w:themeColor="text1"/>
          <w:kern w:val="0"/>
          <w:sz w:val="32"/>
          <w:szCs w:val="32"/>
        </w:rPr>
        <w:t>。继续加大</w:t>
      </w:r>
      <w:r>
        <w:rPr>
          <w:rFonts w:hint="eastAsia" w:ascii="仿宋_GB2312" w:hAnsi="仿宋_GB2312" w:eastAsia="仿宋_GB2312" w:cs="仿宋_GB2312"/>
          <w:color w:val="000000" w:themeColor="text1"/>
          <w:sz w:val="32"/>
          <w:szCs w:val="32"/>
        </w:rPr>
        <w:t>粮食产后服务体系建设，积极为种粮农民提供“五代”等服务。全面</w:t>
      </w:r>
      <w:r>
        <w:rPr>
          <w:rFonts w:hint="eastAsia" w:ascii="仿宋_GB2312" w:hAnsi="仿宋_GB2312" w:eastAsia="仿宋_GB2312" w:cs="仿宋_GB2312"/>
          <w:color w:val="000000" w:themeColor="text1"/>
          <w:kern w:val="0"/>
          <w:sz w:val="32"/>
          <w:szCs w:val="32"/>
        </w:rPr>
        <w:t>建设完善粮食市场监测预警、储备粮管理、粮食应急保障、质量安全监控、监督检查执法、军粮供应保障等机制，加快形成资源共享的一体化粮食行业监管信息系统平台，提升粮食流通环节智能化、科技化监控水平。</w:t>
      </w:r>
    </w:p>
    <w:p>
      <w:pPr>
        <w:keepNext w:val="0"/>
        <w:keepLines w:val="0"/>
        <w:pageBreakBefore w:val="0"/>
        <w:widowControl/>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000000" w:themeColor="text1"/>
          <w:kern w:val="0"/>
          <w:sz w:val="32"/>
          <w:szCs w:val="32"/>
        </w:rPr>
      </w:pPr>
      <w:r>
        <w:rPr>
          <w:rFonts w:hint="eastAsia" w:ascii="楷体_GB2312" w:hAnsi="楷体_GB2312" w:eastAsia="楷体_GB2312" w:cs="楷体_GB2312"/>
          <w:b/>
          <w:bCs w:val="0"/>
          <w:color w:val="000000" w:themeColor="text1"/>
          <w:kern w:val="0"/>
          <w:sz w:val="32"/>
          <w:szCs w:val="32"/>
        </w:rPr>
        <w:t>——持续完善粮食仓储设施。</w:t>
      </w:r>
      <w:r>
        <w:rPr>
          <w:rFonts w:hint="eastAsia" w:ascii="仿宋_GB2312" w:hAnsi="仿宋_GB2312" w:eastAsia="仿宋_GB2312" w:cs="仿宋_GB2312"/>
          <w:color w:val="000000" w:themeColor="text1"/>
          <w:kern w:val="0"/>
          <w:sz w:val="32"/>
          <w:szCs w:val="32"/>
        </w:rPr>
        <w:t>全力推进粮食物流园区建设。计划投资22000万元，新建平房仓</w:t>
      </w:r>
      <w:r>
        <w:rPr>
          <w:rFonts w:hint="eastAsia" w:ascii="仿宋_GB2312" w:hAnsi="仿宋_GB2312" w:eastAsia="仿宋_GB2312" w:cs="仿宋_GB2312"/>
          <w:color w:val="000000" w:themeColor="text1"/>
          <w:sz w:val="32"/>
          <w:szCs w:val="32"/>
        </w:rPr>
        <w:t>49.37万吨；计划投资30000万元完成萝北粮库、凤翔粮库退城进郊新建库项目，新增仓容40万吨；计划投资5000万元新建仓储物流烘干等配套设施</w:t>
      </w:r>
      <w:r>
        <w:rPr>
          <w:rFonts w:hint="eastAsia" w:ascii="仿宋_GB2312" w:hAnsi="仿宋_GB2312" w:eastAsia="仿宋_GB2312" w:cs="仿宋_GB2312"/>
          <w:color w:val="000000" w:themeColor="text1"/>
          <w:kern w:val="0"/>
          <w:sz w:val="32"/>
          <w:szCs w:val="32"/>
        </w:rPr>
        <w:t>。</w:t>
      </w:r>
    </w:p>
    <w:p>
      <w:pPr>
        <w:keepNext w:val="0"/>
        <w:keepLines w:val="0"/>
        <w:pageBreakBefore w:val="0"/>
        <w:widowControl/>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000000"/>
          <w:kern w:val="0"/>
          <w:sz w:val="32"/>
          <w:szCs w:val="32"/>
        </w:rPr>
      </w:pPr>
      <w:r>
        <w:rPr>
          <w:rFonts w:hint="eastAsia" w:ascii="楷体_GB2312" w:hAnsi="楷体_GB2312" w:eastAsia="楷体_GB2312" w:cs="楷体_GB2312"/>
          <w:b/>
          <w:bCs w:val="0"/>
          <w:color w:val="000000" w:themeColor="text1"/>
          <w:kern w:val="0"/>
          <w:sz w:val="32"/>
          <w:szCs w:val="32"/>
        </w:rPr>
        <w:t>——推进现代粮食物流产业发展。</w:t>
      </w:r>
      <w:r>
        <w:rPr>
          <w:rFonts w:hint="eastAsia" w:ascii="仿宋_GB2312" w:hAnsi="仿宋_GB2312" w:eastAsia="仿宋_GB2312" w:cs="仿宋_GB2312"/>
          <w:color w:val="000000"/>
          <w:kern w:val="0"/>
          <w:sz w:val="32"/>
          <w:szCs w:val="32"/>
        </w:rPr>
        <w:t>统筹推进粮食仓储物流设施建设，实现粮食仓储物流一体化融合发展。积极抓好</w:t>
      </w:r>
      <w:r>
        <w:rPr>
          <w:rFonts w:hint="eastAsia" w:ascii="仿宋_GB2312" w:hAnsi="仿宋_GB2312" w:eastAsia="仿宋_GB2312" w:cs="仿宋_GB2312"/>
          <w:color w:val="000000" w:themeColor="text1"/>
          <w:kern w:val="0"/>
          <w:sz w:val="32"/>
          <w:szCs w:val="32"/>
        </w:rPr>
        <w:t>萝北县北跃现代粮食物流有限责任公司物流节点建设，物流中转能力提高到100万吨。结合粮食去库存，促进粮食物流总量加快增长，推动地方国有粮食购销企业向收购、仓储、物流、加工、销售和信息一体化方向发展，延伸和完善产业链条，不断扩展萝北粮食物流园功能。到2025年，</w:t>
      </w:r>
      <w:r>
        <w:rPr>
          <w:rFonts w:hint="eastAsia" w:ascii="仿宋_GB2312" w:hAnsi="仿宋_GB2312" w:eastAsia="仿宋_GB2312" w:cs="仿宋_GB2312"/>
          <w:color w:val="000000"/>
          <w:kern w:val="0"/>
          <w:sz w:val="32"/>
          <w:szCs w:val="32"/>
        </w:rPr>
        <w:t>粮食物流效益稳增，物流设施建设、运营管理、信息技术标准化水平逐年提高，物流运营能力显著提升。</w:t>
      </w:r>
    </w:p>
    <w:p>
      <w:pPr>
        <w:keepNext w:val="0"/>
        <w:keepLines w:val="0"/>
        <w:pageBreakBefore w:val="0"/>
        <w:widowControl/>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000000" w:themeColor="text1"/>
          <w:kern w:val="0"/>
          <w:sz w:val="32"/>
          <w:szCs w:val="32"/>
        </w:rPr>
      </w:pPr>
      <w:r>
        <w:rPr>
          <w:rFonts w:hint="eastAsia" w:ascii="楷体_GB2312" w:hAnsi="楷体_GB2312" w:eastAsia="楷体_GB2312" w:cs="楷体_GB2312"/>
          <w:b/>
          <w:bCs w:val="0"/>
          <w:color w:val="000000" w:themeColor="text1"/>
          <w:kern w:val="0"/>
          <w:sz w:val="32"/>
          <w:szCs w:val="32"/>
        </w:rPr>
        <w:t>——发展现代粮油加工体系。</w:t>
      </w:r>
      <w:r>
        <w:rPr>
          <w:rFonts w:hint="eastAsia" w:ascii="仿宋_GB2312" w:hAnsi="仿宋_GB2312" w:eastAsia="仿宋_GB2312" w:cs="仿宋_GB2312"/>
          <w:color w:val="000000" w:themeColor="text1"/>
          <w:sz w:val="32"/>
          <w:szCs w:val="32"/>
        </w:rPr>
        <w:t>按照做优、做强、做大的目标，着重培育经济效益好、品牌效应强、发展后劲足、带动能力强的粮食龙头企业，不断扩大粮食产业规模。着力提升大米加工量，促进</w:t>
      </w:r>
      <w:r>
        <w:rPr>
          <w:rFonts w:hint="eastAsia" w:ascii="仿宋_GB2312" w:hAnsi="仿宋_GB2312" w:eastAsia="仿宋_GB2312" w:cs="仿宋_GB2312"/>
          <w:color w:val="000000" w:themeColor="text1"/>
          <w:kern w:val="0"/>
          <w:sz w:val="32"/>
          <w:szCs w:val="32"/>
        </w:rPr>
        <w:t>稻米加工产业加快复苏发展。积极</w:t>
      </w:r>
      <w:r>
        <w:rPr>
          <w:rFonts w:hint="eastAsia" w:ascii="仿宋_GB2312" w:hAnsi="仿宋_GB2312" w:eastAsia="仿宋_GB2312" w:cs="仿宋_GB2312"/>
          <w:color w:val="000000" w:themeColor="text1"/>
          <w:sz w:val="32"/>
          <w:szCs w:val="32"/>
        </w:rPr>
        <w:t>推进玉米酒精加工产业快速发展，进一步提升加工产能。深入推动大豆酱、大豆油等产业向精深方向发展，促进优质绿色、非转基因大豆加工营销。大力实施品牌战略，加大名牌产品培育，全力提升粮食产品知名度和市场竞争力。以“中国好粮油”活动为契机，积极向上争取政策资金支持，充分发挥粮油示范县区和示范企业引领示范作用。</w:t>
      </w:r>
      <w:r>
        <w:rPr>
          <w:rFonts w:hint="eastAsia" w:ascii="仿宋_GB2312" w:hAnsi="仿宋_GB2312" w:eastAsia="仿宋_GB2312" w:cs="仿宋_GB2312"/>
          <w:color w:val="000000" w:themeColor="text1"/>
          <w:kern w:val="0"/>
          <w:sz w:val="32"/>
          <w:szCs w:val="32"/>
        </w:rPr>
        <w:t>推进粮油加工技术改造，完善工艺，提高产品质量，积极研究开发科技含量高、健康、营养的粮油食品。</w:t>
      </w:r>
    </w:p>
    <w:p>
      <w:pPr>
        <w:keepNext w:val="0"/>
        <w:keepLines w:val="0"/>
        <w:pageBreakBefore w:val="0"/>
        <w:widowControl/>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000000" w:themeColor="text1"/>
          <w:kern w:val="0"/>
          <w:sz w:val="32"/>
          <w:szCs w:val="32"/>
        </w:rPr>
      </w:pPr>
      <w:r>
        <w:rPr>
          <w:rFonts w:hint="eastAsia" w:ascii="楷体_GB2312" w:hAnsi="楷体_GB2312" w:eastAsia="楷体_GB2312" w:cs="楷体_GB2312"/>
          <w:b/>
          <w:bCs w:val="0"/>
          <w:color w:val="000000" w:themeColor="text1"/>
          <w:kern w:val="0"/>
          <w:sz w:val="32"/>
          <w:szCs w:val="32"/>
        </w:rPr>
        <w:t>——加快粮食市场体系建设。</w:t>
      </w:r>
      <w:r>
        <w:rPr>
          <w:rFonts w:hint="eastAsia" w:ascii="仿宋_GB2312" w:hAnsi="仿宋_GB2312" w:eastAsia="仿宋_GB2312" w:cs="仿宋_GB2312"/>
          <w:color w:val="000000" w:themeColor="text1"/>
          <w:kern w:val="0"/>
          <w:sz w:val="32"/>
          <w:szCs w:val="32"/>
        </w:rPr>
        <w:t>以粮食购销市场为主体，建立县级粮食网络电子交易平台，以粮食产销协作为纽带，建立粮食现货、期货交易市场稳步发展的新格局。着力推进萝北“放心粮油”工程，建成覆盖城乡的放心粮油供应服务网络。严格执行收购市场准入制度，规范各类主体的粮食收购行为，维护良好的粮食收购市场秩序。</w:t>
      </w:r>
      <w:r>
        <w:rPr>
          <w:rFonts w:hint="eastAsia" w:ascii="仿宋_GB2312" w:hAnsi="仿宋_GB2312" w:eastAsia="仿宋_GB2312" w:cs="仿宋_GB2312"/>
          <w:color w:val="000000" w:themeColor="text1"/>
          <w:sz w:val="32"/>
          <w:szCs w:val="32"/>
        </w:rPr>
        <w:t>加强对粮食经营者从事粮食收购、储存、运输活动和政策性用粮的购销活动以及执行国家粮食流通统计制度情况的监督检查，严厉打击坑农害农行为。</w:t>
      </w:r>
      <w:r>
        <w:rPr>
          <w:rFonts w:hint="eastAsia" w:ascii="仿宋_GB2312" w:hAnsi="仿宋_GB2312" w:eastAsia="仿宋_GB2312" w:cs="仿宋_GB2312"/>
          <w:color w:val="000000" w:themeColor="text1"/>
          <w:kern w:val="0"/>
          <w:sz w:val="32"/>
          <w:szCs w:val="32"/>
        </w:rPr>
        <w:t>以粮食法律法规为依据，切实维护粮食流通市场秩序。以粮食质量安全为重点，通过粮食流通监督检查和执法督查，建设机构健全、权责明确、行为规范、监督有效的监督保障体系。</w:t>
      </w:r>
    </w:p>
    <w:p>
      <w:pPr>
        <w:keepNext w:val="0"/>
        <w:keepLines w:val="0"/>
        <w:pageBreakBefore w:val="0"/>
        <w:widowControl/>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000000" w:themeColor="text1"/>
          <w:kern w:val="0"/>
          <w:sz w:val="32"/>
          <w:szCs w:val="32"/>
        </w:rPr>
      </w:pPr>
      <w:r>
        <w:rPr>
          <w:rFonts w:hint="eastAsia" w:ascii="楷体_GB2312" w:hAnsi="楷体_GB2312" w:eastAsia="楷体_GB2312" w:cs="楷体_GB2312"/>
          <w:b/>
          <w:bCs w:val="0"/>
          <w:color w:val="000000" w:themeColor="text1"/>
          <w:kern w:val="0"/>
          <w:sz w:val="32"/>
          <w:szCs w:val="32"/>
        </w:rPr>
        <w:t>——完善粮食质量监测体系。</w:t>
      </w:r>
      <w:r>
        <w:rPr>
          <w:rFonts w:hint="eastAsia" w:ascii="仿宋_GB2312" w:hAnsi="仿宋_GB2312" w:eastAsia="仿宋_GB2312" w:cs="仿宋_GB2312"/>
          <w:color w:val="000000" w:themeColor="text1"/>
          <w:kern w:val="0"/>
          <w:sz w:val="32"/>
          <w:szCs w:val="32"/>
        </w:rPr>
        <w:t>提升粮食质量安全检验能力。继续完善质量监测站技术装备建设，提高地方国有粮食购销企业、军供站等质量安全检测功能。各类检测能力达到国家规定的标准，地方国有粮食购销企业化验室的质量指标、储存品质指标检测能力达到100%。</w:t>
      </w:r>
      <w:r>
        <w:rPr>
          <w:rFonts w:hint="eastAsia" w:ascii="仿宋_GB2312" w:hAnsi="仿宋_GB2312" w:eastAsia="仿宋_GB2312" w:cs="仿宋_GB2312"/>
          <w:color w:val="000000" w:themeColor="text1"/>
          <w:sz w:val="32"/>
          <w:szCs w:val="32"/>
        </w:rPr>
        <w:t>进一步提升粮油质量检验监测能力，做好新粮质量调查、品质测报和政策性粮检验监测任务。抓好粮食质量实时监测，强化粮食出入库检验制度，构建粮油质量安全追溯体系</w:t>
      </w:r>
      <w:r>
        <w:rPr>
          <w:rFonts w:hint="eastAsia" w:ascii="仿宋_GB2312" w:hAnsi="仿宋_GB2312" w:eastAsia="仿宋_GB2312" w:cs="仿宋_GB2312"/>
          <w:color w:val="000000" w:themeColor="text1"/>
          <w:kern w:val="0"/>
          <w:sz w:val="32"/>
          <w:szCs w:val="32"/>
        </w:rPr>
        <w:t>，形成投诉举报、粮食安全检测、粮食安全处置一体化管理机制。</w:t>
      </w:r>
    </w:p>
    <w:p>
      <w:pPr>
        <w:keepNext w:val="0"/>
        <w:keepLines w:val="0"/>
        <w:pageBreakBefore w:val="0"/>
        <w:widowControl/>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val="0"/>
          <w:color w:val="000000" w:themeColor="text1"/>
          <w:kern w:val="0"/>
          <w:sz w:val="32"/>
          <w:szCs w:val="32"/>
        </w:rPr>
        <w:t>——加快国有粮食购销企业改革发展。</w:t>
      </w:r>
      <w:r>
        <w:rPr>
          <w:rFonts w:hint="eastAsia" w:ascii="仿宋_GB2312" w:hAnsi="仿宋_GB2312" w:eastAsia="仿宋_GB2312" w:cs="仿宋_GB2312"/>
          <w:color w:val="000000" w:themeColor="text1"/>
          <w:kern w:val="0"/>
          <w:sz w:val="32"/>
          <w:szCs w:val="32"/>
        </w:rPr>
        <w:t>地方8户国有粮食购销企业</w:t>
      </w:r>
      <w:r>
        <w:rPr>
          <w:rFonts w:hint="eastAsia" w:ascii="仿宋_GB2312" w:hAnsi="仿宋_GB2312" w:eastAsia="仿宋_GB2312" w:cs="仿宋_GB2312"/>
          <w:sz w:val="32"/>
          <w:szCs w:val="32"/>
        </w:rPr>
        <w:t>按照公司法和国有资产管理规定，</w:t>
      </w:r>
      <w:r>
        <w:rPr>
          <w:rFonts w:hint="eastAsia" w:ascii="仿宋_GB2312" w:hAnsi="仿宋_GB2312" w:eastAsia="仿宋_GB2312" w:cs="仿宋_GB2312"/>
          <w:color w:val="000000" w:themeColor="text1"/>
          <w:sz w:val="32"/>
          <w:szCs w:val="32"/>
        </w:rPr>
        <w:t>建立与市场经济相适应、相配套的产权清晰、权责明确的企业内部管理机制和运行机制。</w:t>
      </w:r>
      <w:r>
        <w:rPr>
          <w:rFonts w:hint="eastAsia" w:ascii="仿宋_GB2312" w:hAnsi="仿宋_GB2312" w:eastAsia="仿宋_GB2312" w:cs="仿宋_GB2312"/>
          <w:sz w:val="32"/>
          <w:szCs w:val="32"/>
        </w:rPr>
        <w:t>健全法人治理结构，完善监督制约机制，</w:t>
      </w:r>
      <w:r>
        <w:rPr>
          <w:rFonts w:hint="eastAsia" w:ascii="仿宋_GB2312" w:hAnsi="仿宋_GB2312" w:eastAsia="仿宋_GB2312" w:cs="仿宋_GB2312"/>
          <w:color w:val="000000" w:themeColor="text1"/>
          <w:sz w:val="32"/>
          <w:szCs w:val="32"/>
        </w:rPr>
        <w:t>转换企业经营管理机制，充分发挥市场主体作用</w:t>
      </w:r>
      <w:r>
        <w:rPr>
          <w:rFonts w:hint="eastAsia" w:ascii="仿宋_GB2312" w:hAnsi="仿宋_GB2312" w:eastAsia="仿宋_GB2312" w:cs="仿宋_GB2312"/>
          <w:sz w:val="32"/>
          <w:szCs w:val="32"/>
        </w:rPr>
        <w:t>。整合8户国有粮食购销企业和军供企业组建粮食集团，通过集团化运作，建立集约化、规模化和产业化的经营模式，建立统一规划、统一管理、统一发展的经营战略，</w:t>
      </w:r>
      <w:r>
        <w:rPr>
          <w:rFonts w:hint="eastAsia" w:ascii="仿宋_GB2312" w:hAnsi="仿宋_GB2312" w:eastAsia="仿宋_GB2312" w:cs="仿宋_GB2312"/>
          <w:color w:val="000000" w:themeColor="text1"/>
          <w:sz w:val="32"/>
          <w:szCs w:val="32"/>
        </w:rPr>
        <w:t>推进经营机制、管理机制、用人机制、资产监管机制和分配制度改革，</w:t>
      </w:r>
      <w:r>
        <w:rPr>
          <w:rFonts w:hint="eastAsia" w:ascii="仿宋_GB2312" w:hAnsi="仿宋_GB2312" w:eastAsia="仿宋_GB2312" w:cs="仿宋_GB2312"/>
          <w:sz w:val="32"/>
          <w:szCs w:val="32"/>
        </w:rPr>
        <w:t>打造强有力的政府调控载体和市场竞争主体。充分发挥集团规模优势，打造萝北粮食信誉品牌。</w:t>
      </w:r>
    </w:p>
    <w:p>
      <w:pPr>
        <w:keepNext w:val="0"/>
        <w:keepLines w:val="0"/>
        <w:pageBreakBefore w:val="0"/>
        <w:widowControl/>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000000" w:themeColor="text1"/>
          <w:kern w:val="0"/>
          <w:sz w:val="32"/>
          <w:szCs w:val="32"/>
        </w:rPr>
      </w:pPr>
      <w:r>
        <w:rPr>
          <w:rFonts w:hint="eastAsia" w:ascii="楷体_GB2312" w:hAnsi="楷体_GB2312" w:eastAsia="楷体_GB2312" w:cs="楷体_GB2312"/>
          <w:b/>
          <w:bCs w:val="0"/>
          <w:color w:val="000000" w:themeColor="text1"/>
          <w:kern w:val="0"/>
          <w:sz w:val="32"/>
          <w:szCs w:val="32"/>
        </w:rPr>
        <w:t>——增强粮食科技创新能力。</w:t>
      </w:r>
      <w:r>
        <w:rPr>
          <w:rFonts w:hint="eastAsia" w:ascii="仿宋_GB2312" w:hAnsi="仿宋_GB2312" w:eastAsia="仿宋_GB2312" w:cs="仿宋_GB2312"/>
          <w:color w:val="000000" w:themeColor="text1"/>
          <w:sz w:val="32"/>
          <w:szCs w:val="32"/>
        </w:rPr>
        <w:t>推进粮食仓储规范化管理，抓好国家政策性粮食监管，提高储粮科学化管理水平，切实保障</w:t>
      </w:r>
      <w:r>
        <w:rPr>
          <w:rFonts w:hint="eastAsia" w:ascii="仿宋_GB2312" w:hAnsi="仿宋_GB2312" w:eastAsia="仿宋_GB2312" w:cs="仿宋_GB2312"/>
          <w:color w:val="000000" w:themeColor="text1"/>
          <w:kern w:val="0"/>
          <w:sz w:val="32"/>
          <w:szCs w:val="32"/>
        </w:rPr>
        <w:t>库存粮食数量真实、质量完好、管理完善、储存安全、调用高效。积极开展科学保粮、绿色储粮等无污染储粮技术。不断拓宽科技创新领域，降低储粮成本，减少粮食损耗，推广科学保粮技术。</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color w:val="000000" w:themeColor="text1"/>
          <w:kern w:val="0"/>
          <w:sz w:val="32"/>
          <w:szCs w:val="32"/>
        </w:rPr>
      </w:pPr>
      <w:r>
        <w:rPr>
          <w:rFonts w:hint="eastAsia" w:ascii="黑体" w:hAnsi="黑体" w:eastAsia="黑体" w:cs="黑体"/>
          <w:b w:val="0"/>
          <w:bCs/>
          <w:color w:val="000000" w:themeColor="text1"/>
          <w:kern w:val="0"/>
          <w:sz w:val="32"/>
          <w:szCs w:val="32"/>
        </w:rPr>
        <w:t>四、“十四五”时期重点项目</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kern w:val="0"/>
          <w:sz w:val="32"/>
          <w:szCs w:val="32"/>
        </w:rPr>
        <w:t>新建</w:t>
      </w:r>
      <w:r>
        <w:rPr>
          <w:rFonts w:hint="eastAsia" w:ascii="仿宋_GB2312" w:hAnsi="仿宋_GB2312" w:eastAsia="仿宋_GB2312" w:cs="仿宋_GB2312"/>
          <w:color w:val="000000" w:themeColor="text1"/>
          <w:sz w:val="32"/>
          <w:szCs w:val="32"/>
        </w:rPr>
        <w:t>49.37万吨砖结构平房仓项目，预计</w:t>
      </w:r>
      <w:r>
        <w:rPr>
          <w:rFonts w:hint="eastAsia" w:ascii="仿宋_GB2312" w:hAnsi="仿宋_GB2312" w:eastAsia="仿宋_GB2312" w:cs="仿宋_GB2312"/>
          <w:color w:val="000000" w:themeColor="text1"/>
          <w:kern w:val="0"/>
          <w:sz w:val="32"/>
          <w:szCs w:val="32"/>
        </w:rPr>
        <w:t>投资22000万元，投资企业分别如下：</w:t>
      </w:r>
      <w:r>
        <w:rPr>
          <w:rFonts w:hint="eastAsia" w:ascii="仿宋_GB2312" w:hAnsi="仿宋_GB2312" w:eastAsia="仿宋_GB2312" w:cs="仿宋_GB2312"/>
          <w:color w:val="000000" w:themeColor="text1"/>
          <w:sz w:val="32"/>
          <w:szCs w:val="32"/>
        </w:rPr>
        <w:t>北跃现代粮食物流有限责任公司6.46万吨、军川粮库13.48万吨、名山粮库11.61万吨、苇场粮库12.92万吨、团结粮库4.9万吨。完成萝北粮库、凤翔粮库退城进郊新建库项目，预计投资30000万元，新建仓容40万吨。计划投资5000万元完善仓储物流设施，其中：投资300万元新建一座烘干设施；投资400万元新建大米成品库及改造加工车间；投资500万元新建消防管网；投资600万元新建10万吨钢结构平房仓；投资1000万元新建铁路罩棚；投资2200万元其它仓储物流配套设施。</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color w:val="000000" w:themeColor="text1"/>
          <w:kern w:val="0"/>
          <w:sz w:val="32"/>
          <w:szCs w:val="32"/>
        </w:rPr>
      </w:pPr>
      <w:r>
        <w:rPr>
          <w:rFonts w:hint="eastAsia" w:ascii="黑体" w:hAnsi="黑体" w:eastAsia="黑体" w:cs="黑体"/>
          <w:b w:val="0"/>
          <w:bCs/>
          <w:color w:val="000000" w:themeColor="text1"/>
          <w:kern w:val="0"/>
          <w:sz w:val="32"/>
          <w:szCs w:val="32"/>
        </w:rPr>
        <w:t>五、保障措施</w:t>
      </w:r>
    </w:p>
    <w:p>
      <w:pPr>
        <w:keepNext w:val="0"/>
        <w:keepLines w:val="0"/>
        <w:pageBreakBefore w:val="0"/>
        <w:widowControl/>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000000" w:themeColor="text1"/>
          <w:kern w:val="0"/>
          <w:sz w:val="32"/>
          <w:szCs w:val="32"/>
        </w:rPr>
      </w:pPr>
      <w:r>
        <w:rPr>
          <w:rFonts w:hint="eastAsia" w:ascii="楷体_GB2312" w:hAnsi="楷体_GB2312" w:eastAsia="楷体_GB2312" w:cs="楷体_GB2312"/>
          <w:b/>
          <w:bCs w:val="0"/>
          <w:color w:val="000000" w:themeColor="text1"/>
          <w:kern w:val="0"/>
          <w:sz w:val="32"/>
          <w:szCs w:val="32"/>
        </w:rPr>
        <w:t>（一）全面推进依法治粮。</w:t>
      </w:r>
      <w:r>
        <w:rPr>
          <w:rFonts w:hint="eastAsia" w:ascii="仿宋_GB2312" w:hAnsi="仿宋_GB2312" w:eastAsia="仿宋_GB2312" w:cs="仿宋_GB2312"/>
          <w:color w:val="000000" w:themeColor="text1"/>
          <w:kern w:val="0"/>
          <w:sz w:val="32"/>
          <w:szCs w:val="32"/>
        </w:rPr>
        <w:t>坚持依法治粮、依法管粮共同推进，坚持法制粮食、法治机关一体化建设。全面形成全社会依法治粮、全行业依法管粮、粮食行政管理部门依法行政、广大干部依法履职、所有企业依法经营的良好局面。推进粮食法制社会建设，加强粮食法制宣传，深入推进粮食流通重大事项科学民主决策，形成良好的粮食法制氛围和法治习惯，强化粮食行政执法和执法监督队伍建设。</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000000" w:themeColor="text1"/>
          <w:kern w:val="0"/>
          <w:sz w:val="32"/>
          <w:szCs w:val="32"/>
        </w:rPr>
      </w:pPr>
      <w:r>
        <w:rPr>
          <w:rFonts w:hint="eastAsia" w:ascii="楷体_GB2312" w:hAnsi="楷体_GB2312" w:eastAsia="楷体_GB2312" w:cs="楷体_GB2312"/>
          <w:b/>
          <w:bCs w:val="0"/>
          <w:color w:val="000000" w:themeColor="text1"/>
          <w:kern w:val="0"/>
          <w:sz w:val="32"/>
          <w:szCs w:val="32"/>
        </w:rPr>
        <w:t>（二）加强项目组织实施。</w:t>
      </w:r>
      <w:r>
        <w:rPr>
          <w:rFonts w:hint="eastAsia" w:ascii="仿宋_GB2312" w:hAnsi="仿宋_GB2312" w:eastAsia="仿宋_GB2312" w:cs="仿宋_GB2312"/>
          <w:color w:val="000000" w:themeColor="text1"/>
          <w:kern w:val="0"/>
          <w:sz w:val="32"/>
          <w:szCs w:val="32"/>
        </w:rPr>
        <w:t>充分发挥重大项目对粮食流通发展的支撑作用，结合贯彻落实粮食安全县长责任制，推动粮食现代仓储物流、粮食加工和粮食运输等产业发展。创新投融资模式，鼓励和引导社会资本参与。完善重大项目实施机制，加强事中事后监管。</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000000" w:themeColor="text1"/>
          <w:sz w:val="32"/>
          <w:szCs w:val="32"/>
        </w:rPr>
      </w:pPr>
      <w:r>
        <w:rPr>
          <w:rFonts w:hint="eastAsia" w:ascii="楷体_GB2312" w:hAnsi="楷体_GB2312" w:eastAsia="楷体_GB2312" w:cs="楷体_GB2312"/>
          <w:b/>
          <w:bCs w:val="0"/>
          <w:color w:val="000000" w:themeColor="text1"/>
          <w:kern w:val="0"/>
          <w:sz w:val="32"/>
          <w:szCs w:val="32"/>
        </w:rPr>
        <w:t>（三）推进人才培养储备。</w:t>
      </w:r>
      <w:r>
        <w:rPr>
          <w:rFonts w:hint="eastAsia" w:ascii="仿宋_GB2312" w:hAnsi="仿宋_GB2312" w:eastAsia="仿宋_GB2312" w:cs="仿宋_GB2312"/>
          <w:color w:val="000000" w:themeColor="text1"/>
          <w:sz w:val="32"/>
          <w:szCs w:val="32"/>
        </w:rPr>
        <w:t>制定全员性常态化专业素质人才培养计划，</w:t>
      </w:r>
      <w:r>
        <w:rPr>
          <w:rFonts w:hint="eastAsia" w:ascii="仿宋_GB2312" w:hAnsi="仿宋_GB2312" w:eastAsia="仿宋_GB2312" w:cs="仿宋_GB2312"/>
          <w:color w:val="000000" w:themeColor="text1"/>
          <w:kern w:val="0"/>
          <w:sz w:val="32"/>
          <w:szCs w:val="32"/>
        </w:rPr>
        <w:t>注重对优秀中青年专业技术骨干的培养，对专业技术人员进行分专业领域、分层次的继续教育，</w:t>
      </w:r>
      <w:r>
        <w:rPr>
          <w:rFonts w:hint="eastAsia" w:ascii="仿宋_GB2312" w:hAnsi="仿宋_GB2312" w:eastAsia="仿宋_GB2312" w:cs="仿宋_GB2312"/>
          <w:color w:val="000000" w:themeColor="text1"/>
          <w:sz w:val="32"/>
          <w:szCs w:val="32"/>
        </w:rPr>
        <w:t>采取专项学习培养、专业培训提高、重点选拔培育等手段，通过专业考评测试、专项技能竞赛、现实表现考察等各种措施，选拔各类优秀的专业素质人才建立人才储备库，优先安排重点岗位强化锻炼、加快培养教育提高，优先进入后备干部队伍或提拔重用，促进</w:t>
      </w:r>
      <w:r>
        <w:rPr>
          <w:rFonts w:hint="eastAsia" w:ascii="仿宋_GB2312" w:hAnsi="仿宋_GB2312" w:eastAsia="仿宋_GB2312" w:cs="仿宋_GB2312"/>
          <w:color w:val="000000" w:themeColor="text1"/>
          <w:kern w:val="0"/>
          <w:sz w:val="32"/>
          <w:szCs w:val="32"/>
        </w:rPr>
        <w:t>粮食</w:t>
      </w:r>
      <w:r>
        <w:rPr>
          <w:rFonts w:hint="eastAsia" w:ascii="仿宋_GB2312" w:hAnsi="仿宋_GB2312" w:eastAsia="仿宋_GB2312" w:cs="仿宋_GB2312"/>
          <w:color w:val="000000" w:themeColor="text1"/>
          <w:sz w:val="32"/>
          <w:szCs w:val="32"/>
        </w:rPr>
        <w:t>人才</w:t>
      </w:r>
      <w:r>
        <w:rPr>
          <w:rFonts w:hint="eastAsia" w:ascii="仿宋_GB2312" w:hAnsi="仿宋_GB2312" w:eastAsia="仿宋_GB2312" w:cs="仿宋_GB2312"/>
          <w:color w:val="000000" w:themeColor="text1"/>
          <w:kern w:val="0"/>
          <w:sz w:val="32"/>
          <w:szCs w:val="32"/>
        </w:rPr>
        <w:t>队伍逐步壮大。</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000000" w:themeColor="text1"/>
          <w:sz w:val="32"/>
          <w:szCs w:val="32"/>
        </w:rPr>
      </w:pPr>
      <w:r>
        <w:rPr>
          <w:rFonts w:hint="eastAsia" w:ascii="楷体_GB2312" w:hAnsi="楷体_GB2312" w:eastAsia="楷体_GB2312" w:cs="楷体_GB2312"/>
          <w:b/>
          <w:bCs w:val="0"/>
          <w:color w:val="000000" w:themeColor="text1"/>
          <w:kern w:val="0"/>
          <w:sz w:val="32"/>
          <w:szCs w:val="32"/>
        </w:rPr>
        <w:t>（四）抓好党的建设。</w:t>
      </w:r>
      <w:r>
        <w:rPr>
          <w:rFonts w:hint="eastAsia" w:ascii="仿宋_GB2312" w:hAnsi="仿宋_GB2312" w:eastAsia="仿宋_GB2312" w:cs="仿宋_GB2312"/>
          <w:color w:val="000000" w:themeColor="text1"/>
          <w:sz w:val="32"/>
          <w:szCs w:val="32"/>
        </w:rPr>
        <w:t>充分发挥基层党组织政治核心、战斗堡垒和监督作用，紧紧围绕经济建设抓党建，紧紧围绕提高能力素质抓党建。要突出政治建设，坚持从严治党，强化政治监督，严明政治纪律和政治规矩，强化权力运行的监督制约，强化财务监督和资产监管，建立“三重一大”科学决策机制。</w:t>
      </w:r>
    </w:p>
    <w:sectPr>
      <w:footerReference r:id="rId3" w:type="default"/>
      <w:pgSz w:w="11906" w:h="16838"/>
      <w:pgMar w:top="1417" w:right="1417" w:bottom="1417" w:left="141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89329"/>
      <w:docPartObj>
        <w:docPartGallery w:val="autotext"/>
      </w:docPartObj>
    </w:sdtPr>
    <w:sdtEndPr>
      <w:rPr>
        <w:sz w:val="24"/>
        <w:szCs w:val="24"/>
      </w:rPr>
    </w:sdtEndPr>
    <w:sdtContent>
      <w:p>
        <w:pPr>
          <w:pStyle w:val="3"/>
          <w:jc w:val="center"/>
        </w:pPr>
        <w:r>
          <w:rPr>
            <w:rFonts w:hint="eastAsia"/>
            <w:sz w:val="24"/>
            <w:szCs w:val="24"/>
          </w:rPr>
          <w:t>-</w:t>
        </w:r>
        <w:r>
          <w:rPr>
            <w:sz w:val="24"/>
            <w:szCs w:val="24"/>
          </w:rPr>
          <w:fldChar w:fldCharType="begin"/>
        </w:r>
        <w:r>
          <w:rPr>
            <w:sz w:val="24"/>
            <w:szCs w:val="24"/>
          </w:rPr>
          <w:instrText xml:space="preserve"> PAGE   \* MERGEFORMAT </w:instrText>
        </w:r>
        <w:r>
          <w:rPr>
            <w:sz w:val="24"/>
            <w:szCs w:val="24"/>
          </w:rPr>
          <w:fldChar w:fldCharType="separate"/>
        </w:r>
        <w:r>
          <w:rPr>
            <w:sz w:val="24"/>
            <w:szCs w:val="24"/>
            <w:lang w:val="zh-CN"/>
          </w:rPr>
          <w:t>1</w:t>
        </w:r>
        <w:r>
          <w:rPr>
            <w:sz w:val="24"/>
            <w:szCs w:val="24"/>
          </w:rPr>
          <w:fldChar w:fldCharType="end"/>
        </w:r>
        <w:r>
          <w:rPr>
            <w:rFonts w:hint="eastAsia"/>
            <w:sz w:val="24"/>
            <w:szCs w:val="24"/>
          </w:rPr>
          <w:t>-</w:t>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BD3D25"/>
    <w:rsid w:val="000310C0"/>
    <w:rsid w:val="00036FA6"/>
    <w:rsid w:val="00062B14"/>
    <w:rsid w:val="00077FF6"/>
    <w:rsid w:val="00082168"/>
    <w:rsid w:val="000873CC"/>
    <w:rsid w:val="00095C39"/>
    <w:rsid w:val="000A71D9"/>
    <w:rsid w:val="000B549F"/>
    <w:rsid w:val="000D6FA5"/>
    <w:rsid w:val="000E741D"/>
    <w:rsid w:val="001120C2"/>
    <w:rsid w:val="00122338"/>
    <w:rsid w:val="00125892"/>
    <w:rsid w:val="0013160C"/>
    <w:rsid w:val="00131C66"/>
    <w:rsid w:val="00135E15"/>
    <w:rsid w:val="00146A30"/>
    <w:rsid w:val="00154AED"/>
    <w:rsid w:val="0016363B"/>
    <w:rsid w:val="00177576"/>
    <w:rsid w:val="001802F9"/>
    <w:rsid w:val="001966AE"/>
    <w:rsid w:val="001A2322"/>
    <w:rsid w:val="001B1B8F"/>
    <w:rsid w:val="001B4C89"/>
    <w:rsid w:val="001C3982"/>
    <w:rsid w:val="001F5644"/>
    <w:rsid w:val="00212C67"/>
    <w:rsid w:val="00235272"/>
    <w:rsid w:val="00244D1A"/>
    <w:rsid w:val="00246E40"/>
    <w:rsid w:val="00260A85"/>
    <w:rsid w:val="00270C86"/>
    <w:rsid w:val="00295001"/>
    <w:rsid w:val="002A5851"/>
    <w:rsid w:val="002B6710"/>
    <w:rsid w:val="002B7324"/>
    <w:rsid w:val="002C0026"/>
    <w:rsid w:val="002C209F"/>
    <w:rsid w:val="002D5AF5"/>
    <w:rsid w:val="002E0932"/>
    <w:rsid w:val="003008E9"/>
    <w:rsid w:val="00312B8D"/>
    <w:rsid w:val="003172F5"/>
    <w:rsid w:val="00334258"/>
    <w:rsid w:val="00336B95"/>
    <w:rsid w:val="0034727F"/>
    <w:rsid w:val="003602D2"/>
    <w:rsid w:val="00367981"/>
    <w:rsid w:val="00390AFA"/>
    <w:rsid w:val="00392F65"/>
    <w:rsid w:val="00396175"/>
    <w:rsid w:val="003A4B34"/>
    <w:rsid w:val="003A60EA"/>
    <w:rsid w:val="003E45F5"/>
    <w:rsid w:val="00434B3E"/>
    <w:rsid w:val="00450E69"/>
    <w:rsid w:val="00460EA2"/>
    <w:rsid w:val="00486403"/>
    <w:rsid w:val="004945D5"/>
    <w:rsid w:val="004A784D"/>
    <w:rsid w:val="004B4C33"/>
    <w:rsid w:val="004D2244"/>
    <w:rsid w:val="004D7922"/>
    <w:rsid w:val="004F035B"/>
    <w:rsid w:val="00520262"/>
    <w:rsid w:val="00532561"/>
    <w:rsid w:val="00582F01"/>
    <w:rsid w:val="005F522C"/>
    <w:rsid w:val="00622BF9"/>
    <w:rsid w:val="00632C04"/>
    <w:rsid w:val="00634723"/>
    <w:rsid w:val="0063653C"/>
    <w:rsid w:val="0064254D"/>
    <w:rsid w:val="00676F7C"/>
    <w:rsid w:val="00681895"/>
    <w:rsid w:val="006972B0"/>
    <w:rsid w:val="006A044F"/>
    <w:rsid w:val="006A4414"/>
    <w:rsid w:val="006A6914"/>
    <w:rsid w:val="006C2EF3"/>
    <w:rsid w:val="006C3EFC"/>
    <w:rsid w:val="006D086C"/>
    <w:rsid w:val="00722289"/>
    <w:rsid w:val="00750ED8"/>
    <w:rsid w:val="007657A2"/>
    <w:rsid w:val="0078529B"/>
    <w:rsid w:val="007A426B"/>
    <w:rsid w:val="007B7E97"/>
    <w:rsid w:val="007D4DBE"/>
    <w:rsid w:val="00812092"/>
    <w:rsid w:val="008248A6"/>
    <w:rsid w:val="00825D8E"/>
    <w:rsid w:val="00826222"/>
    <w:rsid w:val="00834574"/>
    <w:rsid w:val="00843018"/>
    <w:rsid w:val="00852B33"/>
    <w:rsid w:val="00895F09"/>
    <w:rsid w:val="008A024E"/>
    <w:rsid w:val="008A62D0"/>
    <w:rsid w:val="008B4512"/>
    <w:rsid w:val="008C0432"/>
    <w:rsid w:val="00916737"/>
    <w:rsid w:val="00956AC5"/>
    <w:rsid w:val="00974F7A"/>
    <w:rsid w:val="009865DF"/>
    <w:rsid w:val="0099493A"/>
    <w:rsid w:val="009C0A7C"/>
    <w:rsid w:val="009D0F3F"/>
    <w:rsid w:val="009E043F"/>
    <w:rsid w:val="009E1EA6"/>
    <w:rsid w:val="009E5AFE"/>
    <w:rsid w:val="00A01F8E"/>
    <w:rsid w:val="00A03F30"/>
    <w:rsid w:val="00A11022"/>
    <w:rsid w:val="00A13DB7"/>
    <w:rsid w:val="00A50010"/>
    <w:rsid w:val="00A6423F"/>
    <w:rsid w:val="00A84F19"/>
    <w:rsid w:val="00A913FB"/>
    <w:rsid w:val="00AB488E"/>
    <w:rsid w:val="00AB75B5"/>
    <w:rsid w:val="00AE0706"/>
    <w:rsid w:val="00AF5639"/>
    <w:rsid w:val="00B02A39"/>
    <w:rsid w:val="00B21C14"/>
    <w:rsid w:val="00B24997"/>
    <w:rsid w:val="00B310E6"/>
    <w:rsid w:val="00B45BDB"/>
    <w:rsid w:val="00B60E82"/>
    <w:rsid w:val="00B63040"/>
    <w:rsid w:val="00BA056C"/>
    <w:rsid w:val="00BB1318"/>
    <w:rsid w:val="00BD04F9"/>
    <w:rsid w:val="00BD3D25"/>
    <w:rsid w:val="00BE3EF8"/>
    <w:rsid w:val="00BF142D"/>
    <w:rsid w:val="00C12B80"/>
    <w:rsid w:val="00C1661F"/>
    <w:rsid w:val="00C20C57"/>
    <w:rsid w:val="00C2127C"/>
    <w:rsid w:val="00C35994"/>
    <w:rsid w:val="00C35B0B"/>
    <w:rsid w:val="00C5132D"/>
    <w:rsid w:val="00C55A3D"/>
    <w:rsid w:val="00C81C57"/>
    <w:rsid w:val="00C84531"/>
    <w:rsid w:val="00C904E8"/>
    <w:rsid w:val="00CA19C3"/>
    <w:rsid w:val="00CF5B42"/>
    <w:rsid w:val="00D01F06"/>
    <w:rsid w:val="00D07911"/>
    <w:rsid w:val="00D12DE6"/>
    <w:rsid w:val="00D4538D"/>
    <w:rsid w:val="00D52F19"/>
    <w:rsid w:val="00D6404A"/>
    <w:rsid w:val="00D727C9"/>
    <w:rsid w:val="00D7458E"/>
    <w:rsid w:val="00D74BA5"/>
    <w:rsid w:val="00D8454C"/>
    <w:rsid w:val="00DC40F7"/>
    <w:rsid w:val="00DD11D6"/>
    <w:rsid w:val="00DD4511"/>
    <w:rsid w:val="00DD7B25"/>
    <w:rsid w:val="00DE3953"/>
    <w:rsid w:val="00DE7C9C"/>
    <w:rsid w:val="00E0220F"/>
    <w:rsid w:val="00E04927"/>
    <w:rsid w:val="00E07165"/>
    <w:rsid w:val="00E22DE5"/>
    <w:rsid w:val="00E53F9D"/>
    <w:rsid w:val="00E675DE"/>
    <w:rsid w:val="00E824EA"/>
    <w:rsid w:val="00EA54EE"/>
    <w:rsid w:val="00EB4081"/>
    <w:rsid w:val="00EC63BF"/>
    <w:rsid w:val="00ED79F2"/>
    <w:rsid w:val="00EF5E45"/>
    <w:rsid w:val="00F06F6E"/>
    <w:rsid w:val="00F10ED5"/>
    <w:rsid w:val="00F11AFD"/>
    <w:rsid w:val="00F860A8"/>
    <w:rsid w:val="00F978A7"/>
    <w:rsid w:val="00FA302F"/>
    <w:rsid w:val="00FB0F4C"/>
    <w:rsid w:val="00FB708A"/>
    <w:rsid w:val="00FD35C1"/>
    <w:rsid w:val="00FD6ECE"/>
    <w:rsid w:val="00FE56E4"/>
    <w:rsid w:val="00FF0E99"/>
    <w:rsid w:val="00FF4F8F"/>
    <w:rsid w:val="1E327BDF"/>
    <w:rsid w:val="718738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qFormat="1" w:uiPriority="99" w:semiHidden="0"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Salutation"/>
    <w:basedOn w:val="1"/>
    <w:next w:val="1"/>
    <w:unhideWhenUsed/>
    <w:qFormat/>
    <w:uiPriority w:val="99"/>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10"/>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8">
    <w:name w:val="页脚 Char"/>
    <w:basedOn w:val="7"/>
    <w:link w:val="3"/>
    <w:qFormat/>
    <w:uiPriority w:val="99"/>
    <w:rPr>
      <w:sz w:val="18"/>
      <w:szCs w:val="18"/>
    </w:rPr>
  </w:style>
  <w:style w:type="paragraph" w:styleId="9">
    <w:name w:val="List Paragraph"/>
    <w:basedOn w:val="1"/>
    <w:qFormat/>
    <w:uiPriority w:val="34"/>
    <w:pPr>
      <w:ind w:firstLine="420" w:firstLineChars="200"/>
    </w:pPr>
  </w:style>
  <w:style w:type="character" w:customStyle="1" w:styleId="10">
    <w:name w:val="页眉 Char"/>
    <w:basedOn w:val="7"/>
    <w:link w:val="4"/>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325302E-0B25-401E-A29C-1963998E4C5B}">
  <ds:schemaRefs/>
</ds:datastoreItem>
</file>

<file path=docProps/app.xml><?xml version="1.0" encoding="utf-8"?>
<Properties xmlns="http://schemas.openxmlformats.org/officeDocument/2006/extended-properties" xmlns:vt="http://schemas.openxmlformats.org/officeDocument/2006/docPropsVTypes">
  <Template>Normal</Template>
  <Company>HP</Company>
  <Pages>7</Pages>
  <Words>540</Words>
  <Characters>3082</Characters>
  <Lines>25</Lines>
  <Paragraphs>7</Paragraphs>
  <TotalTime>5001</TotalTime>
  <ScaleCrop>false</ScaleCrop>
  <LinksUpToDate>false</LinksUpToDate>
  <CharactersWithSpaces>3615</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2020-06-21T07:15:00Z</dcterms:created>
  <dc:creator>hp</dc:creator>
  <cp:lastModifiedBy>A.qiu qiu</cp:lastModifiedBy>
  <cp:lastPrinted>2021-10-22T01:34:00Z</cp:lastPrinted>
  <dcterms:modified xsi:type="dcterms:W3CDTF">2021-10-22T01:51:24Z</dcterms:modified>
  <cp:revision>202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1FCBC8C58B6A40DE8ADBB23F3AAE591E</vt:lpwstr>
  </property>
</Properties>
</file>